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 – NÁVRH</w:t>
      </w:r>
    </w:p>
    <w:p w:rsidR="00624BAC" w:rsidRPr="00F64DB3" w:rsidRDefault="00E95278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Pr="00E95278">
        <w:rPr>
          <w:rFonts w:ascii="Arial" w:hAnsi="Arial" w:cs="Arial"/>
          <w:b/>
          <w:sz w:val="28"/>
          <w:szCs w:val="28"/>
        </w:rPr>
        <w:t>II/</w:t>
      </w:r>
      <w:r w:rsidR="0029180D">
        <w:rPr>
          <w:rFonts w:ascii="Arial" w:hAnsi="Arial" w:cs="Arial"/>
          <w:b/>
          <w:sz w:val="28"/>
          <w:szCs w:val="28"/>
        </w:rPr>
        <w:t>360 Trnava – Rudíkov, 1</w:t>
      </w:r>
      <w:r w:rsidR="007A7782">
        <w:rPr>
          <w:rFonts w:ascii="Arial" w:hAnsi="Arial" w:cs="Arial"/>
          <w:b/>
          <w:sz w:val="28"/>
          <w:szCs w:val="28"/>
        </w:rPr>
        <w:t>. stavba</w:t>
      </w:r>
      <w:r w:rsidR="009828B9" w:rsidRPr="009828B9">
        <w:rPr>
          <w:rFonts w:ascii="Arial" w:hAnsi="Arial" w:cs="Arial"/>
          <w:b/>
          <w:sz w:val="28"/>
          <w:szCs w:val="28"/>
        </w:rPr>
        <w:t>, PD</w:t>
      </w:r>
      <w:r w:rsidR="0019229F" w:rsidRPr="00F64DB3">
        <w:rPr>
          <w:rFonts w:ascii="Arial" w:hAnsi="Arial" w:cs="Arial"/>
          <w:b/>
          <w:sz w:val="28"/>
          <w:szCs w:val="28"/>
        </w:rPr>
        <w:t>“</w:t>
      </w:r>
    </w:p>
    <w:p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>Žižkova 57, 587 33 Jihlava</w:t>
      </w:r>
    </w:p>
    <w:p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Pr="005726E4">
        <w:rPr>
          <w:rFonts w:ascii="Arial" w:eastAsia="MS Mincho" w:hAnsi="Arial" w:cs="Arial"/>
          <w:sz w:val="22"/>
          <w:szCs w:val="22"/>
        </w:rPr>
        <w:t>MUDr. Jiřím Běhounkem</w:t>
      </w:r>
      <w:r w:rsidR="007E1F28" w:rsidRPr="005726E4">
        <w:rPr>
          <w:rFonts w:ascii="Arial" w:eastAsia="MS Mincho" w:hAnsi="Arial" w:cs="Arial"/>
          <w:sz w:val="22"/>
          <w:szCs w:val="22"/>
        </w:rPr>
        <w:t xml:space="preserve">, </w:t>
      </w:r>
      <w:r w:rsidR="005726E4">
        <w:rPr>
          <w:rFonts w:ascii="Arial" w:eastAsia="MS Mincho" w:hAnsi="Arial" w:cs="Arial"/>
          <w:sz w:val="22"/>
          <w:szCs w:val="22"/>
        </w:rPr>
        <w:t>hejtmanem</w:t>
      </w:r>
    </w:p>
    <w:p w:rsidR="007E1F28" w:rsidRPr="005726E4" w:rsidRDefault="007E1F28" w:rsidP="005726E4">
      <w:pPr>
        <w:ind w:left="2832" w:hanging="2832"/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5726E4">
        <w:rPr>
          <w:rFonts w:ascii="Arial" w:eastAsia="MS Mincho" w:hAnsi="Arial" w:cs="Arial"/>
          <w:sz w:val="22"/>
          <w:szCs w:val="22"/>
          <w:lang w:eastAsia="ar-SA"/>
        </w:rPr>
        <w:t>k podpisu smlouvy pověřen</w:t>
      </w:r>
      <w:r w:rsidR="005726E4">
        <w:rPr>
          <w:rFonts w:ascii="Arial" w:eastAsia="MS Mincho" w:hAnsi="Arial" w:cs="Arial"/>
          <w:sz w:val="22"/>
          <w:szCs w:val="22"/>
          <w:lang w:eastAsia="ar-SA"/>
        </w:rPr>
        <w:t>:</w:t>
      </w:r>
      <w:r w:rsidR="005726E4">
        <w:rPr>
          <w:rFonts w:ascii="Arial" w:eastAsia="MS Mincho" w:hAnsi="Arial" w:cs="Arial"/>
          <w:sz w:val="22"/>
          <w:szCs w:val="22"/>
          <w:lang w:eastAsia="ar-SA"/>
        </w:rPr>
        <w:tab/>
      </w:r>
      <w:r w:rsidRPr="005726E4">
        <w:rPr>
          <w:rFonts w:ascii="Arial" w:eastAsia="MS Mincho" w:hAnsi="Arial" w:cs="Arial"/>
          <w:sz w:val="22"/>
          <w:szCs w:val="22"/>
          <w:lang w:eastAsia="ar-SA"/>
        </w:rPr>
        <w:t>Ing. Jan Hyliš, člen rady kraje pro oblast dopravy a silničního hospodářství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E95278">
        <w:rPr>
          <w:rFonts w:ascii="Arial" w:eastAsia="MS Mincho" w:hAnsi="Arial" w:cs="Arial"/>
          <w:sz w:val="22"/>
          <w:szCs w:val="22"/>
        </w:rPr>
        <w:t xml:space="preserve">Ing. </w:t>
      </w:r>
      <w:r w:rsidR="0075064A">
        <w:rPr>
          <w:rFonts w:ascii="Arial" w:eastAsia="MS Mincho" w:hAnsi="Arial" w:cs="Arial"/>
          <w:sz w:val="22"/>
          <w:szCs w:val="22"/>
        </w:rPr>
        <w:t>Jiří Lojda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Pr="007865CF">
        <w:rPr>
          <w:rFonts w:ascii="Arial" w:eastAsia="MS Mincho" w:hAnsi="Arial" w:cs="Arial"/>
          <w:sz w:val="22"/>
          <w:szCs w:val="22"/>
        </w:rPr>
        <w:t xml:space="preserve">Ing. </w:t>
      </w:r>
      <w:r>
        <w:rPr>
          <w:rFonts w:ascii="Arial" w:eastAsia="MS Mincho" w:hAnsi="Arial" w:cs="Arial"/>
          <w:sz w:val="22"/>
          <w:szCs w:val="22"/>
        </w:rPr>
        <w:t>Hana Matulová</w:t>
      </w:r>
    </w:p>
    <w:p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  <w:t>Sber</w:t>
      </w:r>
      <w:r w:rsidR="00AA3C81" w:rsidRPr="007865CF">
        <w:rPr>
          <w:rFonts w:ascii="Arial" w:hAnsi="Arial" w:cs="Arial"/>
          <w:sz w:val="22"/>
          <w:szCs w:val="22"/>
        </w:rPr>
        <w:t>bank CZ, a.s., pobočka Jihlava</w:t>
      </w:r>
    </w:p>
    <w:p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582254">
        <w:rPr>
          <w:rFonts w:ascii="Arial" w:hAnsi="Arial" w:cs="Arial"/>
          <w:sz w:val="22"/>
          <w:szCs w:val="22"/>
        </w:rPr>
        <w:t>4 200 201</w:t>
      </w:r>
      <w:r w:rsidR="00736136">
        <w:rPr>
          <w:rFonts w:ascii="Arial" w:hAnsi="Arial" w:cs="Arial"/>
          <w:sz w:val="22"/>
          <w:szCs w:val="22"/>
        </w:rPr>
        <w:t> 286</w:t>
      </w:r>
      <w:r w:rsidR="00B36C6E" w:rsidRPr="00035644">
        <w:rPr>
          <w:rFonts w:ascii="Arial" w:hAnsi="Arial" w:cs="Arial"/>
          <w:sz w:val="22"/>
          <w:szCs w:val="22"/>
        </w:rPr>
        <w:t>/6800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:rsidR="0059463F" w:rsidRDefault="0059463F" w:rsidP="0059463F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Pr="00320815">
        <w:rPr>
          <w:rFonts w:ascii="Arial" w:hAnsi="Arial" w:cs="Arial"/>
          <w:b/>
          <w:bCs/>
          <w:sz w:val="22"/>
          <w:szCs w:val="22"/>
        </w:rPr>
        <w:t>„II/</w:t>
      </w:r>
      <w:r w:rsidR="001D7997" w:rsidRPr="00320815">
        <w:rPr>
          <w:rFonts w:ascii="Arial" w:hAnsi="Arial" w:cs="Arial"/>
          <w:b/>
          <w:bCs/>
          <w:sz w:val="22"/>
          <w:szCs w:val="22"/>
        </w:rPr>
        <w:t>360 Trnava - Rudíkov</w:t>
      </w:r>
      <w:r w:rsidRPr="00320815">
        <w:rPr>
          <w:rFonts w:ascii="Arial" w:hAnsi="Arial" w:cs="Arial"/>
          <w:b/>
          <w:bCs/>
          <w:sz w:val="22"/>
          <w:szCs w:val="22"/>
        </w:rPr>
        <w:t xml:space="preserve">, </w:t>
      </w:r>
      <w:r w:rsidR="001D7997" w:rsidRPr="00320815">
        <w:rPr>
          <w:rFonts w:ascii="Arial" w:hAnsi="Arial" w:cs="Arial"/>
          <w:b/>
          <w:bCs/>
          <w:sz w:val="22"/>
          <w:szCs w:val="22"/>
        </w:rPr>
        <w:t>1</w:t>
      </w:r>
      <w:r w:rsidR="007A7782" w:rsidRPr="00320815">
        <w:rPr>
          <w:rFonts w:ascii="Arial" w:hAnsi="Arial" w:cs="Arial"/>
          <w:b/>
          <w:bCs/>
          <w:sz w:val="22"/>
          <w:szCs w:val="22"/>
        </w:rPr>
        <w:t>. stavba</w:t>
      </w:r>
      <w:r w:rsidRPr="00320815">
        <w:rPr>
          <w:rFonts w:ascii="Arial" w:hAnsi="Arial" w:cs="Arial"/>
          <w:b/>
          <w:bCs/>
          <w:sz w:val="22"/>
          <w:szCs w:val="22"/>
        </w:rPr>
        <w:t>, PD“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</w:p>
    <w:p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:rsidR="00F64DB3" w:rsidRPr="00E95278" w:rsidRDefault="0035398E" w:rsidP="00F64DB3">
      <w:pPr>
        <w:jc w:val="both"/>
        <w:rPr>
          <w:rFonts w:ascii="Arial" w:hAnsi="Arial" w:cs="Arial"/>
          <w:bCs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Předmětem </w:t>
      </w:r>
      <w:r w:rsidR="00347A6C">
        <w:rPr>
          <w:rFonts w:ascii="Arial" w:hAnsi="Arial" w:cs="Arial"/>
          <w:sz w:val="22"/>
          <w:szCs w:val="22"/>
        </w:rPr>
        <w:t>smlouvy</w:t>
      </w:r>
      <w:r w:rsidRPr="0035398E">
        <w:rPr>
          <w:rFonts w:ascii="Arial" w:hAnsi="Arial" w:cs="Arial"/>
          <w:sz w:val="22"/>
          <w:szCs w:val="22"/>
        </w:rPr>
        <w:t xml:space="preserve"> je vypracování projektové do</w:t>
      </w:r>
      <w:r w:rsidR="00E95278">
        <w:rPr>
          <w:rFonts w:ascii="Arial" w:hAnsi="Arial" w:cs="Arial"/>
          <w:sz w:val="22"/>
          <w:szCs w:val="22"/>
        </w:rPr>
        <w:t xml:space="preserve">kumentace </w:t>
      </w:r>
      <w:r w:rsidR="00414B89">
        <w:rPr>
          <w:rFonts w:ascii="Arial" w:hAnsi="Arial" w:cs="Arial"/>
          <w:sz w:val="22"/>
          <w:szCs w:val="22"/>
        </w:rPr>
        <w:t xml:space="preserve">pro </w:t>
      </w:r>
      <w:r w:rsidR="00F64DB3">
        <w:rPr>
          <w:rFonts w:ascii="Arial" w:hAnsi="Arial" w:cs="Arial"/>
          <w:sz w:val="22"/>
          <w:szCs w:val="22"/>
        </w:rPr>
        <w:t>stavební</w:t>
      </w:r>
      <w:r w:rsidR="00F64DB3" w:rsidRPr="00706590">
        <w:rPr>
          <w:rFonts w:ascii="Arial" w:hAnsi="Arial" w:cs="Arial"/>
          <w:sz w:val="22"/>
          <w:szCs w:val="22"/>
        </w:rPr>
        <w:t xml:space="preserve"> </w:t>
      </w:r>
      <w:r w:rsidR="00F64DB3">
        <w:rPr>
          <w:rFonts w:ascii="Arial" w:hAnsi="Arial" w:cs="Arial"/>
          <w:sz w:val="22"/>
          <w:szCs w:val="22"/>
        </w:rPr>
        <w:t xml:space="preserve">povolení (dále </w:t>
      </w:r>
      <w:r w:rsidR="00255931">
        <w:rPr>
          <w:rFonts w:ascii="Arial" w:hAnsi="Arial" w:cs="Arial"/>
          <w:sz w:val="22"/>
          <w:szCs w:val="22"/>
        </w:rPr>
        <w:t>též</w:t>
      </w:r>
      <w:r w:rsidR="00F64DB3">
        <w:rPr>
          <w:rFonts w:ascii="Arial" w:hAnsi="Arial" w:cs="Arial"/>
          <w:sz w:val="22"/>
          <w:szCs w:val="22"/>
        </w:rPr>
        <w:t xml:space="preserve"> „DSP“)</w:t>
      </w:r>
      <w:r w:rsidR="00F64DB3" w:rsidRPr="00706590">
        <w:rPr>
          <w:rFonts w:ascii="Arial" w:hAnsi="Arial" w:cs="Arial"/>
          <w:sz w:val="22"/>
          <w:szCs w:val="22"/>
        </w:rPr>
        <w:t xml:space="preserve"> včetně zajištění </w:t>
      </w:r>
      <w:r w:rsidR="00F64DB3">
        <w:rPr>
          <w:rFonts w:ascii="Arial" w:hAnsi="Arial" w:cs="Arial"/>
          <w:sz w:val="22"/>
          <w:szCs w:val="22"/>
        </w:rPr>
        <w:t xml:space="preserve">pravomocného </w:t>
      </w:r>
      <w:r w:rsidR="00F64DB3" w:rsidRPr="00706590">
        <w:rPr>
          <w:rFonts w:ascii="Arial" w:hAnsi="Arial" w:cs="Arial"/>
          <w:sz w:val="22"/>
          <w:szCs w:val="22"/>
        </w:rPr>
        <w:t>s</w:t>
      </w:r>
      <w:r w:rsidR="00F64DB3">
        <w:rPr>
          <w:rFonts w:ascii="Arial" w:hAnsi="Arial" w:cs="Arial"/>
          <w:sz w:val="22"/>
          <w:szCs w:val="22"/>
        </w:rPr>
        <w:t>tavebního</w:t>
      </w:r>
      <w:r w:rsidR="00F64DB3" w:rsidRPr="00706590">
        <w:rPr>
          <w:rFonts w:ascii="Arial" w:hAnsi="Arial" w:cs="Arial"/>
          <w:sz w:val="22"/>
          <w:szCs w:val="22"/>
        </w:rPr>
        <w:t xml:space="preserve"> povolení</w:t>
      </w:r>
      <w:r w:rsidR="00F64DB3">
        <w:rPr>
          <w:rFonts w:ascii="Arial" w:hAnsi="Arial" w:cs="Arial"/>
          <w:sz w:val="22"/>
          <w:szCs w:val="22"/>
        </w:rPr>
        <w:t xml:space="preserve"> </w:t>
      </w:r>
      <w:r w:rsidR="00F64DB3" w:rsidRPr="00706590">
        <w:rPr>
          <w:rFonts w:ascii="Arial" w:hAnsi="Arial" w:cs="Arial"/>
          <w:sz w:val="22"/>
          <w:szCs w:val="22"/>
        </w:rPr>
        <w:t xml:space="preserve">a zpracování projektové dokumentace pro </w:t>
      </w:r>
      <w:r w:rsidR="00255931">
        <w:rPr>
          <w:rFonts w:ascii="Arial" w:hAnsi="Arial" w:cs="Arial"/>
          <w:sz w:val="22"/>
          <w:szCs w:val="22"/>
        </w:rPr>
        <w:t>provádění stavby (dále též</w:t>
      </w:r>
      <w:r w:rsidR="00F64DB3" w:rsidRPr="00706590">
        <w:rPr>
          <w:rFonts w:ascii="Arial" w:hAnsi="Arial" w:cs="Arial"/>
          <w:sz w:val="22"/>
          <w:szCs w:val="22"/>
        </w:rPr>
        <w:t xml:space="preserve"> „PDPS“) vč. soupisu </w:t>
      </w:r>
      <w:r w:rsidR="00F64DB3" w:rsidRPr="00483F3D">
        <w:rPr>
          <w:rFonts w:ascii="Arial" w:hAnsi="Arial" w:cs="Arial"/>
          <w:sz w:val="22"/>
          <w:szCs w:val="22"/>
        </w:rPr>
        <w:t xml:space="preserve">prací a rozpočtu </w:t>
      </w:r>
      <w:r w:rsidR="00E95278">
        <w:rPr>
          <w:rFonts w:ascii="Arial" w:hAnsi="Arial" w:cs="Arial"/>
          <w:sz w:val="22"/>
          <w:szCs w:val="22"/>
        </w:rPr>
        <w:t xml:space="preserve">akce </w:t>
      </w:r>
      <w:r w:rsidR="00E95278" w:rsidRPr="00E95278">
        <w:rPr>
          <w:rFonts w:ascii="Arial" w:hAnsi="Arial" w:cs="Arial"/>
          <w:sz w:val="22"/>
          <w:szCs w:val="22"/>
        </w:rPr>
        <w:t>„II/</w:t>
      </w:r>
      <w:r w:rsidR="002B3653">
        <w:rPr>
          <w:rFonts w:ascii="Arial" w:hAnsi="Arial" w:cs="Arial"/>
          <w:sz w:val="22"/>
          <w:szCs w:val="22"/>
        </w:rPr>
        <w:t>360 Trnava - Rudíkov</w:t>
      </w:r>
      <w:r w:rsidR="00E95278" w:rsidRPr="00E95278">
        <w:rPr>
          <w:rFonts w:ascii="Arial" w:hAnsi="Arial" w:cs="Arial"/>
          <w:szCs w:val="22"/>
        </w:rPr>
        <w:t xml:space="preserve">, </w:t>
      </w:r>
      <w:r w:rsidR="002B3653">
        <w:rPr>
          <w:rFonts w:ascii="Arial" w:hAnsi="Arial" w:cs="Arial"/>
          <w:szCs w:val="22"/>
        </w:rPr>
        <w:t>1</w:t>
      </w:r>
      <w:r w:rsidR="007A7782">
        <w:rPr>
          <w:rFonts w:ascii="Arial" w:hAnsi="Arial" w:cs="Arial"/>
          <w:szCs w:val="22"/>
        </w:rPr>
        <w:t>. stavba</w:t>
      </w:r>
      <w:r w:rsidR="00F64DB3" w:rsidRPr="00E95278">
        <w:rPr>
          <w:rFonts w:ascii="Arial" w:hAnsi="Arial" w:cs="Arial"/>
          <w:sz w:val="22"/>
          <w:szCs w:val="22"/>
        </w:rPr>
        <w:t xml:space="preserve">“. </w:t>
      </w:r>
    </w:p>
    <w:p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„AD“)</w:t>
      </w:r>
      <w:r>
        <w:rPr>
          <w:rFonts w:ascii="Arial" w:hAnsi="Arial" w:cs="Arial"/>
          <w:sz w:val="22"/>
          <w:szCs w:val="22"/>
        </w:rPr>
        <w:t xml:space="preserve">. </w:t>
      </w:r>
    </w:p>
    <w:p w:rsidR="00F64DB3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Pr="0035398E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:rsidR="00FC6129" w:rsidRPr="00FC6129" w:rsidRDefault="00FC6129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</w:p>
    <w:p w:rsidR="00FC6129" w:rsidRDefault="00FC6129" w:rsidP="00FC6129">
      <w:pPr>
        <w:pStyle w:val="ODRKY"/>
        <w:numPr>
          <w:ilvl w:val="0"/>
          <w:numId w:val="0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Projektová dokumentace r</w:t>
      </w:r>
      <w:r w:rsidRPr="006C739C">
        <w:rPr>
          <w:rFonts w:ascii="Arial" w:hAnsi="Arial"/>
          <w:sz w:val="22"/>
        </w:rPr>
        <w:t xml:space="preserve">ekonstrukce silnice II/360 </w:t>
      </w:r>
      <w:r>
        <w:rPr>
          <w:rFonts w:ascii="Arial" w:hAnsi="Arial"/>
          <w:sz w:val="22"/>
        </w:rPr>
        <w:t xml:space="preserve">bude zpracovaná </w:t>
      </w:r>
      <w:r w:rsidRPr="006C739C">
        <w:rPr>
          <w:rFonts w:ascii="Arial" w:hAnsi="Arial"/>
          <w:sz w:val="22"/>
        </w:rPr>
        <w:t xml:space="preserve">v rozsahu </w:t>
      </w:r>
      <w:r>
        <w:rPr>
          <w:rFonts w:ascii="Arial" w:hAnsi="Arial"/>
          <w:sz w:val="22"/>
        </w:rPr>
        <w:t xml:space="preserve">části </w:t>
      </w:r>
      <w:r w:rsidRPr="006C739C">
        <w:rPr>
          <w:rFonts w:ascii="Arial" w:hAnsi="Arial"/>
          <w:sz w:val="22"/>
        </w:rPr>
        <w:t xml:space="preserve">zpracované dokumentace pro územní </w:t>
      </w:r>
      <w:r>
        <w:rPr>
          <w:rFonts w:ascii="Arial" w:hAnsi="Arial"/>
          <w:sz w:val="22"/>
        </w:rPr>
        <w:t>rozhodnutí v úseku cca km 1,3 – 3,640 (konec úseku</w:t>
      </w:r>
      <w:r w:rsidR="005951FE">
        <w:rPr>
          <w:rFonts w:ascii="Arial" w:hAnsi="Arial"/>
          <w:sz w:val="22"/>
        </w:rPr>
        <w:t>, KÚ</w:t>
      </w:r>
      <w:r>
        <w:rPr>
          <w:rFonts w:ascii="Arial" w:hAnsi="Arial"/>
          <w:sz w:val="22"/>
        </w:rPr>
        <w:t>) provozního staničení stavby</w:t>
      </w:r>
      <w:r w:rsidRPr="006C739C">
        <w:rPr>
          <w:rFonts w:ascii="Arial" w:hAnsi="Arial"/>
          <w:sz w:val="22"/>
        </w:rPr>
        <w:t xml:space="preserve">. Začátek úseku je </w:t>
      </w:r>
      <w:r>
        <w:rPr>
          <w:rFonts w:ascii="Arial" w:hAnsi="Arial"/>
          <w:sz w:val="22"/>
        </w:rPr>
        <w:t>v blízkosti čerpací stanice u obce Rudíkov</w:t>
      </w:r>
      <w:r w:rsidRPr="006C739C">
        <w:rPr>
          <w:rFonts w:ascii="Arial" w:hAnsi="Arial"/>
          <w:sz w:val="22"/>
        </w:rPr>
        <w:t>, konec úseku je u rybníka Velký Bor.</w:t>
      </w:r>
      <w:r w:rsidR="003E77DC">
        <w:rPr>
          <w:rFonts w:ascii="Arial" w:hAnsi="Arial"/>
          <w:sz w:val="22"/>
        </w:rPr>
        <w:t xml:space="preserve"> P</w:t>
      </w:r>
      <w:r w:rsidR="003E77DC" w:rsidRPr="003E77DC">
        <w:rPr>
          <w:rFonts w:ascii="Arial" w:hAnsi="Arial"/>
          <w:sz w:val="22"/>
        </w:rPr>
        <w:t xml:space="preserve">rojektová dokumentace pro územní rozhodnutí „II/360 Trnava – Rudíkov“ </w:t>
      </w:r>
      <w:r w:rsidR="003E77DC">
        <w:rPr>
          <w:rFonts w:ascii="Arial" w:hAnsi="Arial"/>
          <w:sz w:val="22"/>
        </w:rPr>
        <w:t>byla vypracována</w:t>
      </w:r>
      <w:r w:rsidR="003E77DC" w:rsidRPr="003E77DC">
        <w:rPr>
          <w:rFonts w:ascii="Arial" w:hAnsi="Arial"/>
          <w:sz w:val="22"/>
        </w:rPr>
        <w:t xml:space="preserve"> společností Dopravně inženýrská kancelář, s.r.o., Bozděchova 1668/13a, 500 02 Hradec Králové, IČO 27466868 v 8/2018.</w:t>
      </w:r>
    </w:p>
    <w:p w:rsidR="000B3365" w:rsidRDefault="000B336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Odborem pozemních komunikací pod č.j. 158/2017-120-TN/1 ze dne 9. srpna 2017, s účinností od 14. srpna </w:t>
      </w:r>
      <w:r w:rsidRPr="00967A63">
        <w:rPr>
          <w:bCs/>
          <w:color w:val="000000"/>
          <w:szCs w:val="22"/>
        </w:rPr>
        <w:t>2017 v</w:t>
      </w:r>
      <w:r w:rsidR="00395BE3" w:rsidRPr="00967A63">
        <w:rPr>
          <w:bCs/>
          <w:color w:val="000000"/>
          <w:szCs w:val="22"/>
        </w:rPr>
        <w:t> aktuálním znění</w:t>
      </w:r>
      <w:r>
        <w:rPr>
          <w:bCs/>
          <w:color w:val="000000"/>
          <w:szCs w:val="22"/>
        </w:rPr>
        <w:t>.</w:t>
      </w:r>
    </w:p>
    <w:p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="000B3365" w:rsidRPr="000B3365">
        <w:rPr>
          <w:rFonts w:ascii="Arial" w:hAnsi="Arial" w:cs="Arial"/>
          <w:sz w:val="22"/>
          <w:szCs w:val="22"/>
        </w:rPr>
        <w:t>vyhlášky č. 146/2008 Sb., o rozsahu 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4354F6">
        <w:rPr>
          <w:rFonts w:ascii="Arial" w:hAnsi="Arial" w:cs="Arial"/>
          <w:sz w:val="22"/>
          <w:szCs w:val="22"/>
        </w:rPr>
        <w:t xml:space="preserve"> a vyhlášky č. 499/2006 o dokumentaci staveb, ve znění pozdějších předpisů,</w:t>
      </w:r>
      <w:r w:rsidR="001742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 smyslu zákona č. 183/2006 Sb., o územním plánování a stavebním řá</w:t>
      </w:r>
      <w:r w:rsidR="00E5059B">
        <w:rPr>
          <w:rFonts w:ascii="Arial" w:hAnsi="Arial" w:cs="Arial"/>
          <w:sz w:val="22"/>
          <w:szCs w:val="22"/>
        </w:rPr>
        <w:t>du</w:t>
      </w:r>
      <w:r w:rsidR="00C80BFA" w:rsidRPr="00C80BFA">
        <w:rPr>
          <w:color w:val="000000"/>
        </w:rPr>
        <w:t xml:space="preserve"> </w:t>
      </w:r>
      <w:r w:rsidR="00C80BFA" w:rsidRPr="00C80BFA">
        <w:rPr>
          <w:rFonts w:ascii="Arial" w:hAnsi="Arial" w:cs="Arial"/>
          <w:sz w:val="22"/>
          <w:szCs w:val="22"/>
        </w:rPr>
        <w:t>(stavební zákon)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0B3365" w:rsidRPr="000B3365">
        <w:rPr>
          <w:rFonts w:ascii="Arial" w:hAnsi="Arial" w:cs="Arial"/>
          <w:sz w:val="22"/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AD17B1" w:rsidRPr="0035398E" w:rsidRDefault="00AD17B1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Pr="0035398E">
        <w:rPr>
          <w:rFonts w:ascii="Arial" w:hAnsi="Arial" w:cs="Arial"/>
          <w:b/>
          <w:bCs/>
          <w:i/>
          <w:sz w:val="22"/>
          <w:szCs w:val="22"/>
          <w:u w:val="single"/>
        </w:rPr>
        <w:t>ve stupni dokumentace pro stavební povolení (DSP)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</w:p>
    <w:p w:rsidR="00AD17B1" w:rsidRDefault="00AD17B1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</w:t>
      </w:r>
      <w:r w:rsidR="00B37EFF">
        <w:rPr>
          <w:rFonts w:ascii="Arial" w:hAnsi="Arial" w:cs="Arial"/>
          <w:bCs/>
          <w:sz w:val="22"/>
          <w:szCs w:val="22"/>
          <w:u w:val="single"/>
        </w:rPr>
        <w:t>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:rsidR="005F166B" w:rsidRPr="00160306" w:rsidRDefault="005F166B" w:rsidP="00B37EF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</w:t>
      </w:r>
      <w:r w:rsidR="002147AB">
        <w:rPr>
          <w:rFonts w:ascii="Arial" w:hAnsi="Arial" w:cs="Arial"/>
          <w:bCs/>
          <w:sz w:val="22"/>
          <w:szCs w:val="22"/>
        </w:rPr>
        <w:t>rekonstrukce silnice</w:t>
      </w:r>
      <w:r w:rsidRPr="00160306">
        <w:rPr>
          <w:rFonts w:ascii="Arial" w:hAnsi="Arial" w:cs="Arial"/>
          <w:bCs/>
          <w:sz w:val="22"/>
          <w:szCs w:val="22"/>
        </w:rPr>
        <w:t xml:space="preserve"> </w:t>
      </w:r>
    </w:p>
    <w:p w:rsidR="00B37EFF" w:rsidRPr="00BE7438" w:rsidRDefault="00B37EFF" w:rsidP="00BE7438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sz w:val="22"/>
        </w:rPr>
        <w:t xml:space="preserve">záborový elaborát – grafická i tabulková část vč. zákresu stavby v katastrální mapě, grafická a tabulková příloha s přehledem dotčených pozemků (trvalý a dočasný zábor), sousedních pozemků a jejich vlastníků, </w:t>
      </w:r>
      <w:r w:rsidR="00A45DE2">
        <w:rPr>
          <w:rFonts w:ascii="Arial" w:hAnsi="Arial"/>
          <w:sz w:val="22"/>
        </w:rPr>
        <w:t xml:space="preserve">s </w:t>
      </w:r>
      <w:r w:rsidRPr="00B37EFF">
        <w:rPr>
          <w:rFonts w:ascii="Arial" w:hAnsi="Arial"/>
          <w:sz w:val="22"/>
        </w:rPr>
        <w:t xml:space="preserve">přehledem záborů pro </w:t>
      </w:r>
      <w:r w:rsidR="001742AD">
        <w:rPr>
          <w:rFonts w:ascii="Arial" w:hAnsi="Arial"/>
          <w:sz w:val="22"/>
        </w:rPr>
        <w:t xml:space="preserve">případná </w:t>
      </w:r>
      <w:r w:rsidRPr="00B37EFF">
        <w:rPr>
          <w:rFonts w:ascii="Arial" w:hAnsi="Arial"/>
          <w:sz w:val="22"/>
        </w:rPr>
        <w:t>věcná břemena inženýrských sítí</w:t>
      </w:r>
    </w:p>
    <w:p w:rsidR="005F166B" w:rsidRPr="002D69EC" w:rsidRDefault="005F166B" w:rsidP="00B37EFF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 w:rsidR="006832D3">
        <w:rPr>
          <w:rFonts w:ascii="Arial" w:hAnsi="Arial"/>
          <w:sz w:val="22"/>
        </w:rPr>
        <w:t>í mapy</w:t>
      </w:r>
    </w:p>
    <w:p w:rsidR="00395A28" w:rsidRPr="00296561" w:rsidRDefault="00395A28" w:rsidP="00395A28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geodetické zaměření</w:t>
      </w:r>
      <w:r w:rsidR="00AD6F83">
        <w:rPr>
          <w:rFonts w:ascii="Arial" w:hAnsi="Arial" w:cs="Arial"/>
          <w:sz w:val="22"/>
          <w:szCs w:val="22"/>
        </w:rPr>
        <w:t xml:space="preserve"> (doměření) </w:t>
      </w:r>
      <w:r w:rsidRPr="00296561">
        <w:rPr>
          <w:rFonts w:ascii="Arial" w:hAnsi="Arial" w:cs="Arial"/>
          <w:sz w:val="22"/>
          <w:szCs w:val="22"/>
        </w:rPr>
        <w:t xml:space="preserve">území podle potřeb </w:t>
      </w:r>
      <w:r w:rsidR="00B449FD"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 xml:space="preserve">hotovitele tak, aby bylo možno v rámci PDPS vytvořit řezy po 20 m a v místě </w:t>
      </w:r>
      <w:r w:rsidR="008F7970">
        <w:rPr>
          <w:rFonts w:ascii="Arial" w:hAnsi="Arial" w:cs="Arial"/>
          <w:sz w:val="22"/>
          <w:szCs w:val="22"/>
        </w:rPr>
        <w:t xml:space="preserve">křižovatek a </w:t>
      </w:r>
      <w:r w:rsidRPr="00296561">
        <w:rPr>
          <w:rFonts w:ascii="Arial" w:hAnsi="Arial" w:cs="Arial"/>
          <w:sz w:val="22"/>
          <w:szCs w:val="22"/>
        </w:rPr>
        <w:t>sjezdů</w:t>
      </w:r>
    </w:p>
    <w:p w:rsidR="00B37EFF" w:rsidRPr="00B37EFF" w:rsidRDefault="00B37EFF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:rsidR="00B37EFF" w:rsidRPr="00B37EFF" w:rsidRDefault="00B37EFF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 w:rsidR="00A45DE2"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:rsidR="00B37EFF" w:rsidRPr="00B37EFF" w:rsidRDefault="00B37EFF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:rsidR="005F166B" w:rsidRPr="00B37EFF" w:rsidRDefault="005F166B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 xml:space="preserve">kladná projednání se všemi dotčenými orgány a úřady státní správy a samosprávy, dotčenými právnickými a fyzickými osobami ve shodě s TKP-D, potřebná </w:t>
      </w:r>
      <w:r w:rsidR="00B37EFF" w:rsidRPr="00B37EFF">
        <w:rPr>
          <w:rFonts w:ascii="Arial" w:hAnsi="Arial" w:cs="Arial"/>
          <w:bCs/>
          <w:sz w:val="22"/>
          <w:szCs w:val="22"/>
        </w:rPr>
        <w:t>k doložení ke stavebnímu řízení</w:t>
      </w:r>
    </w:p>
    <w:p w:rsidR="001742AD" w:rsidRPr="001A69C7" w:rsidRDefault="001742AD" w:rsidP="001742AD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</w:t>
      </w:r>
      <w:r w:rsidR="00491B86"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1A69C7">
        <w:rPr>
          <w:rFonts w:ascii="Arial" w:hAnsi="Arial" w:cs="Arial"/>
          <w:bCs/>
          <w:sz w:val="22"/>
          <w:szCs w:val="22"/>
        </w:rPr>
        <w:t xml:space="preserve">, v případě </w:t>
      </w:r>
      <w:r w:rsidR="00B04300" w:rsidRPr="001A69C7">
        <w:rPr>
          <w:rFonts w:ascii="Arial" w:hAnsi="Arial" w:cs="Arial"/>
          <w:bCs/>
          <w:sz w:val="22"/>
          <w:szCs w:val="22"/>
        </w:rPr>
        <w:t>nutnosti</w:t>
      </w:r>
      <w:r w:rsidRPr="001A69C7">
        <w:rPr>
          <w:rFonts w:ascii="Arial" w:hAnsi="Arial" w:cs="Arial"/>
          <w:bCs/>
          <w:sz w:val="22"/>
          <w:szCs w:val="22"/>
        </w:rPr>
        <w:t xml:space="preserve"> </w:t>
      </w:r>
      <w:r w:rsidR="00B04300" w:rsidRPr="001A69C7">
        <w:rPr>
          <w:rFonts w:ascii="Arial" w:hAnsi="Arial" w:cs="Arial"/>
          <w:bCs/>
          <w:sz w:val="22"/>
          <w:szCs w:val="22"/>
        </w:rPr>
        <w:t xml:space="preserve">návrh </w:t>
      </w:r>
      <w:r w:rsidRPr="001A69C7">
        <w:rPr>
          <w:rFonts w:ascii="Arial" w:hAnsi="Arial" w:cs="Arial"/>
          <w:bCs/>
          <w:sz w:val="22"/>
          <w:szCs w:val="22"/>
        </w:rPr>
        <w:t>přelož</w:t>
      </w:r>
      <w:r w:rsidR="00B04300" w:rsidRPr="001A69C7">
        <w:rPr>
          <w:rFonts w:ascii="Arial" w:hAnsi="Arial" w:cs="Arial"/>
          <w:bCs/>
          <w:sz w:val="22"/>
          <w:szCs w:val="22"/>
        </w:rPr>
        <w:t>e</w:t>
      </w:r>
      <w:r w:rsidRPr="001A69C7">
        <w:rPr>
          <w:rFonts w:ascii="Arial" w:hAnsi="Arial" w:cs="Arial"/>
          <w:bCs/>
          <w:sz w:val="22"/>
          <w:szCs w:val="22"/>
        </w:rPr>
        <w:t>k IS</w:t>
      </w:r>
    </w:p>
    <w:p w:rsidR="00395A28" w:rsidRPr="00BC7036" w:rsidRDefault="001742AD" w:rsidP="00BC7036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>h</w:t>
      </w:r>
      <w:r w:rsidR="00BA5685">
        <w:rPr>
          <w:rFonts w:ascii="Arial" w:hAnsi="Arial" w:cs="Arial"/>
          <w:bCs/>
          <w:sz w:val="22"/>
          <w:szCs w:val="22"/>
        </w:rPr>
        <w:t>avarijní</w:t>
      </w:r>
      <w:r w:rsidRPr="001742AD">
        <w:rPr>
          <w:rFonts w:ascii="Arial" w:hAnsi="Arial" w:cs="Arial"/>
          <w:bCs/>
          <w:sz w:val="22"/>
          <w:szCs w:val="22"/>
        </w:rPr>
        <w:t xml:space="preserve"> </w:t>
      </w:r>
      <w:r w:rsidR="00B95857">
        <w:rPr>
          <w:rFonts w:ascii="Arial" w:hAnsi="Arial" w:cs="Arial"/>
          <w:bCs/>
          <w:sz w:val="22"/>
          <w:szCs w:val="22"/>
        </w:rPr>
        <w:t xml:space="preserve">a povodňový </w:t>
      </w:r>
      <w:r w:rsidRPr="001742AD">
        <w:rPr>
          <w:rFonts w:ascii="Arial" w:hAnsi="Arial" w:cs="Arial"/>
          <w:bCs/>
          <w:sz w:val="22"/>
          <w:szCs w:val="22"/>
        </w:rPr>
        <w:t>plán</w:t>
      </w:r>
    </w:p>
    <w:p w:rsidR="00482197" w:rsidRPr="007C1907" w:rsidRDefault="00BE7438" w:rsidP="007C190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:rsidR="00975B42" w:rsidRPr="00967A63" w:rsidRDefault="003D040A" w:rsidP="00BE7438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aktualizace </w:t>
      </w:r>
      <w:r w:rsidR="00104688" w:rsidRPr="00967A63">
        <w:rPr>
          <w:rFonts w:ascii="Arial" w:hAnsi="Arial" w:cs="Arial"/>
          <w:bCs/>
          <w:sz w:val="22"/>
          <w:szCs w:val="22"/>
        </w:rPr>
        <w:t>dendrologick</w:t>
      </w:r>
      <w:r>
        <w:rPr>
          <w:rFonts w:ascii="Arial" w:hAnsi="Arial" w:cs="Arial"/>
          <w:bCs/>
          <w:sz w:val="22"/>
          <w:szCs w:val="22"/>
        </w:rPr>
        <w:t>ého</w:t>
      </w:r>
      <w:r w:rsidR="00104688" w:rsidRPr="00967A63">
        <w:rPr>
          <w:rFonts w:ascii="Arial" w:hAnsi="Arial" w:cs="Arial"/>
          <w:bCs/>
          <w:sz w:val="22"/>
          <w:szCs w:val="22"/>
        </w:rPr>
        <w:t xml:space="preserve"> průzkum</w:t>
      </w:r>
      <w:r>
        <w:rPr>
          <w:rFonts w:ascii="Arial" w:hAnsi="Arial" w:cs="Arial"/>
          <w:bCs/>
          <w:sz w:val="22"/>
          <w:szCs w:val="22"/>
        </w:rPr>
        <w:t>u</w:t>
      </w:r>
      <w:r w:rsidR="00104688" w:rsidRPr="00967A63">
        <w:rPr>
          <w:rFonts w:ascii="Arial" w:hAnsi="Arial" w:cs="Arial"/>
          <w:bCs/>
          <w:sz w:val="22"/>
          <w:szCs w:val="22"/>
        </w:rPr>
        <w:t>, kácení, náhradní výsadb</w:t>
      </w:r>
      <w:r>
        <w:rPr>
          <w:rFonts w:ascii="Arial" w:hAnsi="Arial" w:cs="Arial"/>
          <w:bCs/>
          <w:sz w:val="22"/>
          <w:szCs w:val="22"/>
        </w:rPr>
        <w:t>y</w:t>
      </w:r>
      <w:r w:rsidR="00104688" w:rsidRPr="00967A63">
        <w:rPr>
          <w:rFonts w:ascii="Arial" w:hAnsi="Arial" w:cs="Arial"/>
          <w:bCs/>
          <w:sz w:val="22"/>
          <w:szCs w:val="22"/>
        </w:rPr>
        <w:t>,</w:t>
      </w:r>
    </w:p>
    <w:p w:rsidR="005F166B" w:rsidRDefault="005F166B" w:rsidP="00B37EF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:rsidR="00DC17CE" w:rsidRDefault="00DC17CE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</w:t>
      </w:r>
      <w:r w:rsidR="00B449FD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5F166B" w:rsidRPr="002D69EC" w:rsidRDefault="001C030A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4</w:t>
      </w:r>
      <w:r w:rsidR="005F166B" w:rsidRPr="002D69EC">
        <w:rPr>
          <w:rFonts w:ascii="Arial" w:hAnsi="Arial" w:cs="Arial"/>
          <w:bCs/>
          <w:sz w:val="22"/>
          <w:szCs w:val="22"/>
        </w:rPr>
        <w:t xml:space="preserve"> x v písemné podobě, z toho 3 x bude využita pro zajištění vydání </w:t>
      </w:r>
      <w:r w:rsidR="00B37EFF">
        <w:rPr>
          <w:rFonts w:ascii="Arial" w:hAnsi="Arial" w:cs="Arial"/>
          <w:bCs/>
          <w:sz w:val="22"/>
          <w:szCs w:val="22"/>
        </w:rPr>
        <w:t>stavebního povolení</w:t>
      </w:r>
    </w:p>
    <w:p w:rsidR="005F166B" w:rsidRPr="002D69EC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v digitální podobě ve formátu dwg a pdf (CD)</w:t>
      </w:r>
    </w:p>
    <w:p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r w:rsidRPr="00CF39E1">
        <w:rPr>
          <w:rFonts w:ascii="Arial" w:hAnsi="Arial" w:cs="Arial"/>
          <w:bCs/>
          <w:sz w:val="22"/>
        </w:rPr>
        <w:t>dwg, dgn a pdf</w:t>
      </w:r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 x v digitální podobě žádost o vydání </w:t>
      </w:r>
      <w:r w:rsidR="00B449FD">
        <w:rPr>
          <w:rFonts w:ascii="Arial" w:hAnsi="Arial" w:cs="Arial"/>
          <w:bCs/>
          <w:sz w:val="22"/>
          <w:szCs w:val="22"/>
        </w:rPr>
        <w:t>stavebního povolení</w:t>
      </w:r>
      <w:r>
        <w:rPr>
          <w:rFonts w:ascii="Arial" w:hAnsi="Arial" w:cs="Arial"/>
          <w:bCs/>
          <w:sz w:val="22"/>
          <w:szCs w:val="22"/>
        </w:rPr>
        <w:t xml:space="preserve"> vč. všech příloh (s potvrze</w:t>
      </w:r>
      <w:r w:rsidR="006832D3">
        <w:rPr>
          <w:rFonts w:ascii="Arial" w:hAnsi="Arial" w:cs="Arial"/>
          <w:bCs/>
          <w:sz w:val="22"/>
          <w:szCs w:val="22"/>
        </w:rPr>
        <w:t>ním o přijetí na příslušném MÚ)</w:t>
      </w:r>
    </w:p>
    <w:p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047A9B"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>x v tištěné podobě, 1x digitální ve formátu pdf, příp. xls</w:t>
      </w:r>
    </w:p>
    <w:p w:rsidR="005F166B" w:rsidRPr="002D69EC" w:rsidRDefault="005F166B" w:rsidP="005F166B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Digitální podoba </w:t>
      </w:r>
      <w:r w:rsidR="001162D3">
        <w:rPr>
          <w:rFonts w:ascii="Arial" w:hAnsi="Arial" w:cs="Arial"/>
          <w:bCs/>
          <w:sz w:val="22"/>
          <w:szCs w:val="22"/>
        </w:rPr>
        <w:t>DSP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</w:t>
      </w:r>
      <w:r w:rsidR="001162D3">
        <w:rPr>
          <w:rFonts w:ascii="Arial" w:hAnsi="Arial" w:cs="Arial"/>
          <w:bCs/>
          <w:sz w:val="22"/>
          <w:szCs w:val="22"/>
        </w:rPr>
        <w:t xml:space="preserve">DSP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:rsidR="00922D41" w:rsidRDefault="00922D41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922D41" w:rsidRDefault="00922D41" w:rsidP="005F166B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základě DSP vypracuje Zhotovitel resumé ve struktuře definované přílohou č. 2 této smlouvy. Resumé bude Objednateli předáno jako samostatná příloha k termínu vypracování DSP.</w:t>
      </w:r>
    </w:p>
    <w:p w:rsidR="007E3BBF" w:rsidRDefault="007E3BBF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5F166B" w:rsidRPr="002D69EC" w:rsidRDefault="005F166B" w:rsidP="00047A9B">
      <w:p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pravomocného </w:t>
      </w:r>
      <w:r w:rsidR="001C030A">
        <w:rPr>
          <w:rFonts w:ascii="Arial" w:hAnsi="Arial" w:cs="Arial"/>
          <w:b/>
          <w:bCs/>
          <w:i/>
          <w:sz w:val="22"/>
          <w:szCs w:val="22"/>
          <w:u w:val="single"/>
        </w:rPr>
        <w:t>stavebního</w:t>
      </w:r>
      <w:r w:rsidR="008E6D2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povolení, inženýrská činnost</w:t>
      </w:r>
    </w:p>
    <w:p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>pravomocného stavebního</w:t>
      </w:r>
      <w:r w:rsidR="00AE3512" w:rsidRPr="00E225B8">
        <w:rPr>
          <w:rFonts w:ascii="Arial" w:hAnsi="Arial" w:cs="Arial"/>
          <w:spacing w:val="-4"/>
          <w:sz w:val="22"/>
          <w:szCs w:val="22"/>
        </w:rPr>
        <w:t xml:space="preserve">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>vydání stavební</w:t>
      </w:r>
      <w:r w:rsidR="00E225B8">
        <w:rPr>
          <w:rFonts w:ascii="Arial" w:hAnsi="Arial" w:cs="Arial"/>
          <w:sz w:val="22"/>
          <w:szCs w:val="22"/>
        </w:rPr>
        <w:t xml:space="preserve">ho povolení stavby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:rsidR="00975028" w:rsidRPr="001A69C7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> listinné podobě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>souhlasu pro zajištění podpisu</w:t>
      </w:r>
      <w:r w:rsidR="00B04300" w:rsidRPr="001A69C7">
        <w:rPr>
          <w:rFonts w:ascii="Arial" w:hAnsi="Arial" w:cs="Arial"/>
          <w:sz w:val="22"/>
          <w:szCs w:val="22"/>
        </w:rPr>
        <w:t xml:space="preserve"> vlastníka</w:t>
      </w:r>
      <w:r w:rsidR="00D86C3B">
        <w:rPr>
          <w:rFonts w:ascii="Arial" w:hAnsi="Arial" w:cs="Arial"/>
          <w:sz w:val="22"/>
          <w:szCs w:val="22"/>
        </w:rPr>
        <w:t>.</w:t>
      </w:r>
    </w:p>
    <w:p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pro provedení stavby (PDPS)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 xml:space="preserve">v aktuální cenové úrovni v době zpracování. </w:t>
      </w:r>
      <w:r w:rsidR="00BF7A54">
        <w:rPr>
          <w:rFonts w:ascii="Arial" w:hAnsi="Arial" w:cs="Arial"/>
          <w:sz w:val="22"/>
          <w:szCs w:val="22"/>
        </w:rPr>
        <w:t xml:space="preserve">Objednatel bude akceptovat rovněž řešení, která jsou kompatibilní s programem ASPE. </w:t>
      </w:r>
    </w:p>
    <w:p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A0233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</w:t>
      </w:r>
      <w:r w:rsidR="00975028" w:rsidRPr="00F74F1B">
        <w:rPr>
          <w:rFonts w:ascii="Arial" w:hAnsi="Arial" w:cs="Arial"/>
          <w:sz w:val="22"/>
          <w:szCs w:val="22"/>
        </w:rPr>
        <w:t>x v písemné podobě, 1x digitální ve formátu dwg a pdf (CD)</w:t>
      </w:r>
    </w:p>
    <w:p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 w:rsidR="00BB0B09">
        <w:rPr>
          <w:rFonts w:ascii="Arial" w:hAnsi="Arial" w:cs="Arial"/>
          <w:sz w:val="22"/>
          <w:szCs w:val="22"/>
        </w:rPr>
        <w:t>:</w:t>
      </w:r>
    </w:p>
    <w:p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oceněný rozpočet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>
        <w:rPr>
          <w:rFonts w:ascii="Arial" w:hAnsi="Arial" w:cs="Arial"/>
          <w:sz w:val="22"/>
          <w:szCs w:val="22"/>
        </w:rPr>
        <w:t>XC4 (</w:t>
      </w:r>
      <w:r w:rsidR="00975028" w:rsidRPr="00F74F1B">
        <w:rPr>
          <w:rFonts w:ascii="Arial" w:hAnsi="Arial" w:cs="Arial"/>
          <w:sz w:val="22"/>
          <w:szCs w:val="22"/>
        </w:rPr>
        <w:t>xml</w:t>
      </w:r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>, xls, pdf (CD)</w:t>
      </w:r>
    </w:p>
    <w:p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neoceněný soupis prací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>
        <w:rPr>
          <w:rFonts w:ascii="Arial" w:hAnsi="Arial" w:cs="Arial"/>
          <w:sz w:val="22"/>
          <w:szCs w:val="22"/>
        </w:rPr>
        <w:t>XC4 (</w:t>
      </w:r>
      <w:r w:rsidR="00975028" w:rsidRPr="00F74F1B">
        <w:rPr>
          <w:rFonts w:ascii="Arial" w:hAnsi="Arial" w:cs="Arial"/>
          <w:sz w:val="22"/>
          <w:szCs w:val="22"/>
        </w:rPr>
        <w:t>xml</w:t>
      </w:r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xls, pdf (CD) </w:t>
      </w: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F74F1B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 xml:space="preserve">Listinná i 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AD1E48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:rsidR="0081576A" w:rsidRDefault="008157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. V rámci výkonu AD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>Zhotovitel si ponechá pro výkon AD vlastní archivní paré projektové dokumentace.</w:t>
      </w:r>
    </w:p>
    <w:p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je povinen při plnění AD poskytnout svoji součinnost vždy bezodkladně poté, kdy bude k tomu objednatelem vyzván nebo poté, kdy takovou potřebu sám zjistí.</w:t>
      </w:r>
    </w:p>
    <w:p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stavebním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technicko-ekonomických parametrů, dodržení lhůt výstavby, případně dalších údajů a ukazatelů,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a řádně spolupracovat při těchto řízeních, </w:t>
      </w:r>
    </w:p>
    <w:p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:rsidR="00215613" w:rsidRDefault="004241E3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87BC5" w:rsidRPr="00530C9C">
        <w:rPr>
          <w:rFonts w:ascii="Arial" w:hAnsi="Arial" w:cs="Arial"/>
          <w:sz w:val="22"/>
          <w:szCs w:val="22"/>
        </w:rPr>
        <w:t>bjednatel předpoklá</w:t>
      </w:r>
      <w:r w:rsidR="00215613" w:rsidRPr="00530C9C">
        <w:rPr>
          <w:rFonts w:ascii="Arial" w:hAnsi="Arial" w:cs="Arial"/>
          <w:sz w:val="22"/>
          <w:szCs w:val="22"/>
        </w:rPr>
        <w:t>d</w:t>
      </w:r>
      <w:r w:rsidR="00C87BC5" w:rsidRPr="00530C9C">
        <w:rPr>
          <w:rFonts w:ascii="Arial" w:hAnsi="Arial" w:cs="Arial"/>
          <w:sz w:val="22"/>
          <w:szCs w:val="22"/>
        </w:rPr>
        <w:t>á</w:t>
      </w:r>
      <w:r w:rsidR="00215613" w:rsidRPr="00530C9C">
        <w:rPr>
          <w:rFonts w:ascii="Arial" w:hAnsi="Arial" w:cs="Arial"/>
          <w:sz w:val="22"/>
          <w:szCs w:val="22"/>
        </w:rPr>
        <w:t xml:space="preserve"> </w:t>
      </w:r>
      <w:r w:rsidR="00C87BC5" w:rsidRPr="00530C9C">
        <w:rPr>
          <w:rFonts w:ascii="Arial" w:hAnsi="Arial" w:cs="Arial"/>
          <w:sz w:val="22"/>
          <w:szCs w:val="22"/>
        </w:rPr>
        <w:t xml:space="preserve">provedení </w:t>
      </w:r>
      <w:r w:rsidR="00243D64">
        <w:rPr>
          <w:rFonts w:ascii="Arial" w:hAnsi="Arial" w:cs="Arial"/>
          <w:sz w:val="22"/>
          <w:szCs w:val="22"/>
        </w:rPr>
        <w:t>30</w:t>
      </w:r>
      <w:r w:rsidR="00EB1D6F" w:rsidRPr="004208CF">
        <w:rPr>
          <w:rFonts w:ascii="Arial" w:hAnsi="Arial" w:cs="Arial"/>
          <w:sz w:val="22"/>
          <w:szCs w:val="22"/>
        </w:rPr>
        <w:t xml:space="preserve"> kontrolních dnů stavby</w:t>
      </w:r>
      <w:r w:rsidR="00EB1D6F">
        <w:rPr>
          <w:rFonts w:ascii="Arial" w:hAnsi="Arial" w:cs="Arial"/>
          <w:sz w:val="22"/>
          <w:szCs w:val="22"/>
        </w:rPr>
        <w:t xml:space="preserve"> za účasti</w:t>
      </w:r>
      <w:r w:rsidR="00215613" w:rsidRPr="00530C9C">
        <w:rPr>
          <w:rFonts w:ascii="Arial" w:hAnsi="Arial" w:cs="Arial"/>
          <w:sz w:val="22"/>
          <w:szCs w:val="22"/>
        </w:rPr>
        <w:t xml:space="preserve"> AD </w:t>
      </w:r>
      <w:r w:rsidR="00C87BC5" w:rsidRPr="00530C9C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530C9C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530C9C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530C9C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530C9C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530C9C">
        <w:rPr>
          <w:rFonts w:ascii="Arial" w:hAnsi="Arial" w:cs="Arial"/>
          <w:sz w:val="22"/>
          <w:szCs w:val="22"/>
        </w:rPr>
        <w:t>.</w:t>
      </w:r>
    </w:p>
    <w:p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hotovitel, v rámci výkonu </w:t>
      </w:r>
      <w:r w:rsidR="004241E3">
        <w:rPr>
          <w:rFonts w:ascii="Arial" w:hAnsi="Arial" w:cs="Arial"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lastRenderedPageBreak/>
        <w:t xml:space="preserve">AD bude vykonáván na vyžádání ze strany 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>O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bjednatele nebo </w:t>
      </w:r>
      <w:r w:rsidR="004241E3">
        <w:rPr>
          <w:rFonts w:ascii="Arial" w:hAnsi="Arial" w:cs="Arial"/>
          <w:spacing w:val="-2"/>
          <w:sz w:val="22"/>
          <w:szCs w:val="22"/>
          <w:lang w:eastAsia="ar-SA"/>
        </w:rPr>
        <w:t>z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 xml:space="preserve"> stavby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</w:t>
      </w:r>
      <w:r w:rsidR="008017F9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bjednatele nebo </w:t>
      </w:r>
      <w:r w:rsidR="004241E3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z w:val="22"/>
          <w:szCs w:val="22"/>
          <w:lang w:eastAsia="ar-SA"/>
        </w:rPr>
        <w:t xml:space="preserve"> stavby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:rsidR="006313B3" w:rsidRPr="001C664A" w:rsidRDefault="006313B3" w:rsidP="00F34E8A">
      <w:pPr>
        <w:pStyle w:val="Bntext3"/>
        <w:spacing w:line="264" w:lineRule="auto"/>
        <w:ind w:left="0"/>
        <w:rPr>
          <w:szCs w:val="22"/>
        </w:rPr>
      </w:pP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EE16D5">
        <w:rPr>
          <w:rFonts w:ascii="Arial" w:hAnsi="Arial" w:cs="Arial"/>
          <w:bCs/>
          <w:spacing w:val="-4"/>
          <w:sz w:val="22"/>
          <w:szCs w:val="22"/>
        </w:rPr>
        <w:t xml:space="preserve"> je povinen v průběhu stavebního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>dokumentace (</w:t>
      </w:r>
      <w:r w:rsidRPr="00225C6E">
        <w:rPr>
          <w:rFonts w:ascii="Arial" w:hAnsi="Arial" w:cs="Arial"/>
          <w:bCs/>
          <w:spacing w:val="-2"/>
          <w:sz w:val="22"/>
          <w:szCs w:val="22"/>
        </w:rPr>
        <w:t>DSP, PDPS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vč. soupisu prací a rozpočtu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)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stavebního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:rsidR="002129F3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:rsidR="00672155" w:rsidRDefault="00672155" w:rsidP="00D313E5">
      <w:pPr>
        <w:ind w:left="5670" w:hanging="5670"/>
        <w:jc w:val="both"/>
        <w:rPr>
          <w:rFonts w:ascii="Arial" w:hAnsi="Arial" w:cs="Arial"/>
          <w:spacing w:val="-6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Zahájení</w:t>
      </w:r>
      <w:r w:rsidR="00436127">
        <w:rPr>
          <w:rFonts w:ascii="Arial" w:hAnsi="Arial" w:cs="Arial"/>
          <w:sz w:val="22"/>
          <w:szCs w:val="22"/>
        </w:rPr>
        <w:t xml:space="preserve"> realizace po podpisu smlouvy</w:t>
      </w:r>
      <w:r w:rsidRPr="00F74F1B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 w:rsidR="00BB77B5">
        <w:rPr>
          <w:rFonts w:ascii="Arial" w:hAnsi="Arial" w:cs="Arial"/>
          <w:sz w:val="22"/>
          <w:szCs w:val="22"/>
        </w:rPr>
        <w:tab/>
      </w:r>
      <w:r w:rsidR="00BB77B5">
        <w:rPr>
          <w:rFonts w:ascii="Arial" w:hAnsi="Arial" w:cs="Arial"/>
          <w:sz w:val="22"/>
          <w:szCs w:val="22"/>
        </w:rPr>
        <w:tab/>
      </w:r>
      <w:r w:rsidRPr="001A69C7">
        <w:rPr>
          <w:rFonts w:ascii="Arial" w:hAnsi="Arial" w:cs="Arial"/>
          <w:spacing w:val="-6"/>
          <w:sz w:val="22"/>
          <w:szCs w:val="22"/>
        </w:rPr>
        <w:t xml:space="preserve">předpoklad </w:t>
      </w:r>
      <w:r w:rsidR="00436127">
        <w:rPr>
          <w:rFonts w:ascii="Arial" w:hAnsi="Arial" w:cs="Arial"/>
          <w:spacing w:val="-6"/>
          <w:sz w:val="22"/>
          <w:szCs w:val="22"/>
        </w:rPr>
        <w:t>5</w:t>
      </w:r>
      <w:r w:rsidR="00D313E5">
        <w:rPr>
          <w:rFonts w:ascii="Arial" w:hAnsi="Arial" w:cs="Arial"/>
          <w:spacing w:val="-6"/>
          <w:sz w:val="22"/>
          <w:szCs w:val="22"/>
        </w:rPr>
        <w:t>/</w:t>
      </w:r>
      <w:r w:rsidRPr="001A69C7">
        <w:rPr>
          <w:rFonts w:ascii="Arial" w:hAnsi="Arial" w:cs="Arial"/>
          <w:spacing w:val="-6"/>
          <w:sz w:val="22"/>
          <w:szCs w:val="22"/>
        </w:rPr>
        <w:t>20</w:t>
      </w:r>
      <w:r w:rsidR="005E24C2">
        <w:rPr>
          <w:rFonts w:ascii="Arial" w:hAnsi="Arial" w:cs="Arial"/>
          <w:spacing w:val="-6"/>
          <w:sz w:val="22"/>
          <w:szCs w:val="22"/>
        </w:rPr>
        <w:t>20</w:t>
      </w:r>
    </w:p>
    <w:p w:rsidR="00672155" w:rsidRPr="00020AC6" w:rsidRDefault="00672155" w:rsidP="00672155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D313E5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 xml:space="preserve">DSP </w:t>
      </w:r>
      <w:r w:rsidRPr="00020AC6">
        <w:rPr>
          <w:rFonts w:ascii="Arial" w:hAnsi="Arial" w:cs="Arial"/>
          <w:sz w:val="22"/>
          <w:szCs w:val="22"/>
          <w:lang w:val="pl-PL"/>
        </w:rPr>
        <w:t>dle odst. 2.</w:t>
      </w:r>
      <w:r w:rsidR="00D313E5"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320FC8">
        <w:rPr>
          <w:rFonts w:ascii="Arial" w:hAnsi="Arial" w:cs="Arial"/>
          <w:sz w:val="22"/>
          <w:szCs w:val="22"/>
          <w:lang w:val="pl-PL"/>
        </w:rPr>
        <w:t>a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  <w:r w:rsidRPr="00020AC6">
        <w:rPr>
          <w:rFonts w:ascii="Arial" w:hAnsi="Arial" w:cs="Arial"/>
          <w:sz w:val="22"/>
          <w:szCs w:val="22"/>
          <w:lang w:val="pl-PL"/>
        </w:rPr>
        <w:tab/>
      </w:r>
      <w:r w:rsidR="00BB77B5">
        <w:rPr>
          <w:rFonts w:ascii="Arial" w:hAnsi="Arial" w:cs="Arial"/>
          <w:sz w:val="22"/>
          <w:szCs w:val="22"/>
          <w:lang w:val="pl-PL"/>
        </w:rPr>
        <w:tab/>
      </w:r>
      <w:r w:rsidR="00BB77B5">
        <w:rPr>
          <w:rFonts w:ascii="Arial" w:hAnsi="Arial" w:cs="Arial"/>
          <w:sz w:val="22"/>
          <w:szCs w:val="22"/>
          <w:lang w:val="pl-PL"/>
        </w:rPr>
        <w:tab/>
      </w:r>
      <w:r w:rsidR="00320FC8">
        <w:rPr>
          <w:rFonts w:ascii="Arial" w:hAnsi="Arial" w:cs="Arial"/>
          <w:sz w:val="22"/>
          <w:szCs w:val="22"/>
          <w:lang w:val="pl-PL"/>
        </w:rPr>
        <w:t xml:space="preserve">do </w:t>
      </w:r>
      <w:r w:rsidR="00BB77B5">
        <w:rPr>
          <w:rFonts w:ascii="Arial" w:hAnsi="Arial" w:cs="Arial"/>
          <w:sz w:val="22"/>
          <w:szCs w:val="22"/>
          <w:lang w:val="pl-PL"/>
        </w:rPr>
        <w:t>31. 8. 2020</w:t>
      </w:r>
    </w:p>
    <w:p w:rsidR="00BB77B5" w:rsidRDefault="00BB77B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:rsidR="00672155" w:rsidRPr="00020AC6" w:rsidRDefault="00BB77B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 xml:space="preserve">Podání žádosti o stavební povolení </w:t>
      </w:r>
      <w:r w:rsidRPr="00020AC6">
        <w:rPr>
          <w:rFonts w:ascii="Arial" w:hAnsi="Arial" w:cs="Arial"/>
          <w:sz w:val="22"/>
          <w:szCs w:val="22"/>
          <w:lang w:val="pl-PL"/>
        </w:rPr>
        <w:t>dle odst. 2.</w:t>
      </w:r>
      <w:r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>
        <w:rPr>
          <w:rFonts w:ascii="Arial" w:hAnsi="Arial" w:cs="Arial"/>
          <w:sz w:val="22"/>
          <w:szCs w:val="22"/>
          <w:lang w:val="pl-PL"/>
        </w:rPr>
        <w:t>b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>do 18. 9. 2020</w:t>
      </w:r>
      <w:r w:rsidR="00D313E5">
        <w:rPr>
          <w:rFonts w:ascii="Arial" w:hAnsi="Arial" w:cs="Arial"/>
          <w:sz w:val="22"/>
          <w:szCs w:val="22"/>
          <w:lang w:val="pl-PL"/>
        </w:rPr>
        <w:tab/>
      </w:r>
      <w:r w:rsidR="00672155" w:rsidRPr="001A69C7">
        <w:rPr>
          <w:rFonts w:ascii="Arial" w:hAnsi="Arial" w:cs="Arial"/>
          <w:sz w:val="22"/>
          <w:szCs w:val="22"/>
          <w:lang w:val="pl-PL"/>
        </w:rPr>
        <w:tab/>
      </w:r>
    </w:p>
    <w:p w:rsidR="00305C1A" w:rsidRDefault="00305C1A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:rsidR="00672155" w:rsidRPr="001A69C7" w:rsidRDefault="00BB77B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>Vypracování soupisu prací vč. položkového rozpočtu</w:t>
      </w:r>
      <w:r w:rsidRPr="006A3E2C">
        <w:rPr>
          <w:rFonts w:ascii="Arial" w:hAnsi="Arial" w:cs="Arial"/>
          <w:sz w:val="22"/>
          <w:szCs w:val="22"/>
          <w:lang w:val="pl-PL"/>
        </w:rPr>
        <w:t xml:space="preserve"> </w:t>
      </w:r>
      <w:r w:rsidRPr="00020AC6">
        <w:rPr>
          <w:rFonts w:ascii="Arial" w:hAnsi="Arial" w:cs="Arial"/>
          <w:sz w:val="22"/>
          <w:szCs w:val="22"/>
          <w:lang w:val="pl-PL"/>
        </w:rPr>
        <w:t>odst. 2.</w:t>
      </w:r>
      <w:r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>
        <w:rPr>
          <w:rFonts w:ascii="Arial" w:hAnsi="Arial" w:cs="Arial"/>
          <w:sz w:val="22"/>
          <w:szCs w:val="22"/>
          <w:lang w:val="pl-PL"/>
        </w:rPr>
        <w:t>c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  <w:r>
        <w:rPr>
          <w:rFonts w:ascii="Arial" w:hAnsi="Arial" w:cs="Arial"/>
          <w:sz w:val="22"/>
          <w:szCs w:val="22"/>
          <w:lang w:val="pl-PL"/>
        </w:rPr>
        <w:tab/>
        <w:t>do 30. 9. 2020</w:t>
      </w:r>
      <w:r w:rsidR="00AF2D95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:rsidR="00672155" w:rsidRPr="00CD5C60" w:rsidRDefault="00D313E5" w:rsidP="001B0164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Vypracování PDPS dle odst. 2.2.</w:t>
      </w:r>
      <w:r w:rsidR="00672155" w:rsidRPr="00020AC6">
        <w:rPr>
          <w:rFonts w:ascii="Arial" w:hAnsi="Arial" w:cs="Arial"/>
          <w:sz w:val="22"/>
          <w:szCs w:val="22"/>
          <w:lang w:val="pl-PL"/>
        </w:rPr>
        <w:t xml:space="preserve"> písm. </w:t>
      </w:r>
      <w:r w:rsidR="00320FC8">
        <w:rPr>
          <w:rFonts w:ascii="Arial" w:hAnsi="Arial" w:cs="Arial"/>
          <w:sz w:val="22"/>
          <w:szCs w:val="22"/>
          <w:lang w:val="pl-PL"/>
        </w:rPr>
        <w:t>c</w:t>
      </w:r>
      <w:r w:rsidR="00672155" w:rsidRPr="00020AC6">
        <w:rPr>
          <w:rFonts w:ascii="Arial" w:hAnsi="Arial" w:cs="Arial"/>
          <w:sz w:val="22"/>
          <w:szCs w:val="22"/>
          <w:lang w:val="pl-PL"/>
        </w:rPr>
        <w:t>)</w:t>
      </w:r>
      <w:r w:rsidR="00672155" w:rsidRPr="00020AC6">
        <w:rPr>
          <w:rFonts w:ascii="Arial" w:hAnsi="Arial" w:cs="Arial"/>
          <w:sz w:val="22"/>
          <w:szCs w:val="22"/>
          <w:lang w:val="pl-PL"/>
        </w:rPr>
        <w:tab/>
      </w:r>
      <w:r w:rsidR="00BB77B5">
        <w:rPr>
          <w:rFonts w:ascii="Arial" w:hAnsi="Arial" w:cs="Arial"/>
          <w:spacing w:val="-6"/>
          <w:sz w:val="22"/>
          <w:szCs w:val="22"/>
          <w:lang w:val="pl-PL"/>
        </w:rPr>
        <w:tab/>
      </w:r>
      <w:r w:rsidR="00BB77B5">
        <w:rPr>
          <w:rFonts w:ascii="Arial" w:hAnsi="Arial" w:cs="Arial"/>
          <w:spacing w:val="-6"/>
          <w:sz w:val="22"/>
          <w:szCs w:val="22"/>
          <w:lang w:val="pl-PL"/>
        </w:rPr>
        <w:tab/>
        <w:t>do 30. 10. 2020</w:t>
      </w:r>
      <w:r w:rsidR="001B0164" w:rsidRPr="00C520C0">
        <w:rPr>
          <w:rFonts w:ascii="Arial" w:hAnsi="Arial" w:cs="Arial"/>
          <w:color w:val="FF0000"/>
          <w:sz w:val="22"/>
          <w:szCs w:val="22"/>
          <w:lang w:val="pl-PL"/>
        </w:rPr>
        <w:t xml:space="preserve"> </w:t>
      </w:r>
    </w:p>
    <w:p w:rsidR="00672155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</w:p>
    <w:p w:rsidR="00BB77B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pacing w:val="-6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 xml:space="preserve">. písm. </w:t>
      </w:r>
      <w:r w:rsidR="00320FC8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="00BB77B5">
        <w:rPr>
          <w:rFonts w:ascii="Arial" w:hAnsi="Arial" w:cs="Arial"/>
          <w:spacing w:val="-6"/>
          <w:sz w:val="22"/>
          <w:szCs w:val="22"/>
        </w:rPr>
        <w:tab/>
      </w:r>
      <w:r w:rsidR="00BB77B5">
        <w:rPr>
          <w:rFonts w:ascii="Arial" w:hAnsi="Arial" w:cs="Arial"/>
          <w:spacing w:val="-6"/>
          <w:sz w:val="22"/>
          <w:szCs w:val="22"/>
        </w:rPr>
        <w:tab/>
      </w:r>
      <w:r w:rsidR="00BB77B5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</w:p>
    <w:p w:rsidR="00BB77B5" w:rsidRDefault="00BB77B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pacing w:val="-4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</w:rPr>
        <w:tab/>
      </w:r>
      <w:r>
        <w:rPr>
          <w:rFonts w:ascii="Arial" w:hAnsi="Arial" w:cs="Arial"/>
          <w:spacing w:val="-6"/>
          <w:sz w:val="22"/>
          <w:szCs w:val="22"/>
        </w:rPr>
        <w:tab/>
      </w:r>
      <w:r>
        <w:rPr>
          <w:rFonts w:ascii="Arial" w:hAnsi="Arial" w:cs="Arial"/>
          <w:spacing w:val="-6"/>
          <w:sz w:val="22"/>
          <w:szCs w:val="22"/>
        </w:rPr>
        <w:tab/>
      </w:r>
      <w:r>
        <w:rPr>
          <w:rFonts w:ascii="Arial" w:hAnsi="Arial" w:cs="Arial"/>
          <w:spacing w:val="-6"/>
          <w:sz w:val="22"/>
          <w:szCs w:val="22"/>
        </w:rPr>
        <w:tab/>
      </w:r>
      <w:r w:rsidR="00672155" w:rsidRPr="007E6974">
        <w:rPr>
          <w:rFonts w:ascii="Arial" w:hAnsi="Arial" w:cs="Arial"/>
          <w:spacing w:val="-6"/>
          <w:sz w:val="22"/>
          <w:szCs w:val="22"/>
          <w:lang w:val="pl-PL"/>
        </w:rPr>
        <w:t>pravomocné</w:t>
      </w:r>
      <w:r w:rsidR="00672155"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BF77DA">
        <w:rPr>
          <w:rFonts w:ascii="Arial" w:hAnsi="Arial" w:cs="Arial"/>
          <w:sz w:val="22"/>
          <w:szCs w:val="22"/>
        </w:rPr>
        <w:t xml:space="preserve"> </w:t>
      </w:r>
      <w:r w:rsidR="00672155" w:rsidRPr="00F8413A">
        <w:rPr>
          <w:rFonts w:ascii="Arial" w:hAnsi="Arial" w:cs="Arial"/>
          <w:spacing w:val="-4"/>
          <w:sz w:val="22"/>
          <w:szCs w:val="22"/>
          <w:lang w:val="pl-PL"/>
        </w:rPr>
        <w:t>s</w:t>
      </w:r>
      <w:r w:rsidR="00672155">
        <w:rPr>
          <w:rFonts w:ascii="Arial" w:hAnsi="Arial" w:cs="Arial"/>
          <w:spacing w:val="-4"/>
          <w:sz w:val="22"/>
          <w:szCs w:val="22"/>
          <w:lang w:val="pl-PL"/>
        </w:rPr>
        <w:t>tavebního</w:t>
      </w:r>
    </w:p>
    <w:p w:rsidR="00672155" w:rsidRDefault="00BB77B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  <w:lang w:val="pl-PL"/>
        </w:rPr>
        <w:tab/>
      </w:r>
      <w:r>
        <w:rPr>
          <w:rFonts w:ascii="Arial" w:hAnsi="Arial" w:cs="Arial"/>
          <w:spacing w:val="-4"/>
          <w:sz w:val="22"/>
          <w:szCs w:val="22"/>
          <w:lang w:val="pl-PL"/>
        </w:rPr>
        <w:tab/>
      </w:r>
      <w:r>
        <w:rPr>
          <w:rFonts w:ascii="Arial" w:hAnsi="Arial" w:cs="Arial"/>
          <w:spacing w:val="-4"/>
          <w:sz w:val="22"/>
          <w:szCs w:val="22"/>
          <w:lang w:val="pl-PL"/>
        </w:rPr>
        <w:tab/>
      </w:r>
      <w:r>
        <w:rPr>
          <w:rFonts w:ascii="Arial" w:hAnsi="Arial" w:cs="Arial"/>
          <w:spacing w:val="-4"/>
          <w:sz w:val="22"/>
          <w:szCs w:val="22"/>
          <w:lang w:val="pl-PL"/>
        </w:rPr>
        <w:tab/>
      </w:r>
      <w:r w:rsidR="00672155" w:rsidRPr="00F74F1B">
        <w:rPr>
          <w:rFonts w:ascii="Arial" w:hAnsi="Arial" w:cs="Arial"/>
          <w:sz w:val="22"/>
          <w:szCs w:val="22"/>
          <w:lang w:val="pl-PL"/>
        </w:rPr>
        <w:t>povolení</w:t>
      </w:r>
      <w:r w:rsidR="00672155">
        <w:rPr>
          <w:rFonts w:ascii="Arial" w:hAnsi="Arial" w:cs="Arial"/>
          <w:sz w:val="22"/>
          <w:szCs w:val="22"/>
        </w:rPr>
        <w:tab/>
      </w:r>
    </w:p>
    <w:p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2"/>
          <w:sz w:val="22"/>
          <w:szCs w:val="22"/>
        </w:rPr>
        <w:lastRenderedPageBreak/>
        <w:t>3.2.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2D4D0C">
        <w:rPr>
          <w:rFonts w:ascii="Arial" w:eastAsia="MS Mincho" w:hAnsi="Arial" w:cs="Arial"/>
          <w:spacing w:val="6"/>
          <w:sz w:val="22"/>
          <w:szCs w:val="22"/>
        </w:rPr>
        <w:t>3.3.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0C1C95">
        <w:rPr>
          <w:rFonts w:ascii="Arial" w:hAnsi="Arial" w:cs="Arial"/>
          <w:spacing w:val="6"/>
          <w:sz w:val="22"/>
          <w:szCs w:val="22"/>
        </w:rPr>
        <w:t>,</w:t>
      </w:r>
      <w:r w:rsidR="004E5C1C">
        <w:rPr>
          <w:rFonts w:ascii="Arial" w:hAnsi="Arial" w:cs="Arial"/>
          <w:spacing w:val="6"/>
          <w:sz w:val="22"/>
          <w:szCs w:val="22"/>
        </w:rPr>
        <w:t xml:space="preserve"> 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3.5.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:rsidR="004A4DDB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 xml:space="preserve">této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>změny okolností ve smyslu neúměrného zvýšení nákladů plnění dle ust. § 1765 občanského zákoníku.</w:t>
      </w:r>
    </w:p>
    <w:p w:rsidR="007174F6" w:rsidRDefault="007174F6" w:rsidP="007174F6">
      <w:pPr>
        <w:pStyle w:val="Odstavecseseznamem"/>
      </w:pPr>
    </w:p>
    <w:p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AD</w:t>
      </w:r>
      <w:r w:rsidR="008A5C2C">
        <w:rPr>
          <w:rFonts w:ascii="Arial" w:hAnsi="Arial" w:cs="Arial"/>
          <w:sz w:val="22"/>
          <w:szCs w:val="22"/>
        </w:rPr>
        <w:t xml:space="preserve"> v rozsahu </w:t>
      </w:r>
      <w:r w:rsidR="006A67EB">
        <w:rPr>
          <w:rFonts w:ascii="Arial" w:hAnsi="Arial" w:cs="Arial"/>
          <w:sz w:val="22"/>
          <w:szCs w:val="22"/>
        </w:rPr>
        <w:t>90</w:t>
      </w:r>
      <w:r w:rsidRPr="002766AD">
        <w:rPr>
          <w:rFonts w:ascii="Arial" w:hAnsi="Arial" w:cs="Arial"/>
          <w:sz w:val="22"/>
          <w:szCs w:val="22"/>
        </w:rPr>
        <w:t xml:space="preserve"> hodin představuje předpokládanou účast na</w:t>
      </w:r>
      <w:r w:rsidR="00413CCF">
        <w:rPr>
          <w:rFonts w:ascii="Arial" w:hAnsi="Arial" w:cs="Arial"/>
          <w:sz w:val="22"/>
          <w:szCs w:val="22"/>
        </w:rPr>
        <w:t xml:space="preserve"> 3</w:t>
      </w:r>
      <w:r w:rsidR="006A67EB">
        <w:rPr>
          <w:rFonts w:ascii="Arial" w:hAnsi="Arial" w:cs="Arial"/>
          <w:sz w:val="22"/>
          <w:szCs w:val="22"/>
        </w:rPr>
        <w:t>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 w:rsidR="00CA3E6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47759" w:rsidRDefault="00B47759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:rsidR="001061B8" w:rsidRPr="009E292B" w:rsidRDefault="001061B8" w:rsidP="001061B8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Vypracování D</w:t>
      </w:r>
      <w:r w:rsidR="00672155">
        <w:rPr>
          <w:rFonts w:ascii="Arial" w:hAnsi="Arial" w:cs="Arial"/>
          <w:b/>
          <w:sz w:val="22"/>
          <w:szCs w:val="22"/>
          <w:u w:val="single"/>
        </w:rPr>
        <w:t>SP</w:t>
      </w:r>
    </w:p>
    <w:p w:rsidR="001061B8" w:rsidRPr="00266D44" w:rsidRDefault="001061B8" w:rsidP="001061B8">
      <w:pPr>
        <w:rPr>
          <w:rFonts w:ascii="Arial" w:hAnsi="Arial" w:cs="Arial"/>
          <w:sz w:val="18"/>
          <w:szCs w:val="22"/>
        </w:rPr>
      </w:pPr>
    </w:p>
    <w:p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  <w:u w:val="single"/>
        </w:rPr>
      </w:pPr>
    </w:p>
    <w:p w:rsidR="007F5A3F" w:rsidRPr="009E292B" w:rsidRDefault="007F5A3F" w:rsidP="007F5A3F">
      <w:pPr>
        <w:rPr>
          <w:rFonts w:ascii="Arial" w:hAnsi="Arial" w:cs="Arial"/>
          <w:sz w:val="22"/>
          <w:szCs w:val="22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lastRenderedPageBreak/>
        <w:t>Vypracování PDPS</w:t>
      </w:r>
    </w:p>
    <w:p w:rsidR="007F5A3F" w:rsidRPr="00266D44" w:rsidRDefault="007F5A3F" w:rsidP="007F5A3F">
      <w:pPr>
        <w:rPr>
          <w:rFonts w:ascii="Arial" w:hAnsi="Arial" w:cs="Arial"/>
          <w:sz w:val="18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1061B8" w:rsidRDefault="001061B8" w:rsidP="007F5A3F">
      <w:pPr>
        <w:jc w:val="both"/>
        <w:rPr>
          <w:rFonts w:ascii="Arial" w:hAnsi="Arial" w:cs="Arial"/>
          <w:b/>
          <w:sz w:val="22"/>
          <w:szCs w:val="22"/>
        </w:rPr>
      </w:pPr>
    </w:p>
    <w:p w:rsidR="00ED677E" w:rsidRPr="009E292B" w:rsidRDefault="00ED677E" w:rsidP="00ED677E">
      <w:pPr>
        <w:rPr>
          <w:rFonts w:ascii="Arial" w:hAnsi="Arial" w:cs="Arial"/>
          <w:sz w:val="22"/>
          <w:szCs w:val="22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>
        <w:rPr>
          <w:rFonts w:ascii="Arial" w:hAnsi="Arial" w:cs="Arial"/>
          <w:b/>
          <w:sz w:val="22"/>
          <w:szCs w:val="22"/>
          <w:u w:val="single"/>
        </w:rPr>
        <w:t>soupisu prací vč. položkového rozpočtu</w:t>
      </w:r>
    </w:p>
    <w:p w:rsidR="00ED677E" w:rsidRPr="00266D44" w:rsidRDefault="00ED677E" w:rsidP="00ED677E">
      <w:pPr>
        <w:rPr>
          <w:rFonts w:ascii="Arial" w:hAnsi="Arial" w:cs="Arial"/>
          <w:sz w:val="18"/>
          <w:szCs w:val="22"/>
        </w:rPr>
      </w:pPr>
    </w:p>
    <w:p w:rsidR="00ED677E" w:rsidRPr="00BC4ABC" w:rsidRDefault="00ED677E" w:rsidP="00ED677E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ED677E" w:rsidRPr="00BC4ABC" w:rsidRDefault="00ED677E" w:rsidP="00ED677E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ED677E" w:rsidRPr="00BC4ABC" w:rsidRDefault="00ED677E" w:rsidP="00ED67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ED677E" w:rsidRDefault="00ED677E" w:rsidP="007F5A3F">
      <w:pPr>
        <w:jc w:val="both"/>
        <w:rPr>
          <w:rFonts w:ascii="Arial" w:hAnsi="Arial" w:cs="Arial"/>
          <w:b/>
          <w:sz w:val="22"/>
          <w:szCs w:val="22"/>
        </w:rPr>
      </w:pPr>
    </w:p>
    <w:p w:rsidR="007F5A3F" w:rsidRDefault="007F5A3F" w:rsidP="007F5A3F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 w:rsidR="00275614">
        <w:rPr>
          <w:rFonts w:ascii="Arial" w:hAnsi="Arial" w:cs="Arial"/>
          <w:b/>
          <w:sz w:val="22"/>
          <w:szCs w:val="22"/>
          <w:u w:val="single"/>
        </w:rPr>
        <w:t xml:space="preserve">stavebního </w:t>
      </w:r>
      <w:r w:rsidRPr="00B018C0">
        <w:rPr>
          <w:rFonts w:ascii="Arial" w:hAnsi="Arial" w:cs="Arial"/>
          <w:b/>
          <w:sz w:val="22"/>
          <w:szCs w:val="22"/>
          <w:u w:val="single"/>
        </w:rPr>
        <w:t>povolení</w:t>
      </w:r>
      <w:r w:rsidR="00CF745D"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:rsidR="007F5A3F" w:rsidRPr="00266D44" w:rsidRDefault="007F5A3F" w:rsidP="007F5A3F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 w:rsidR="0020723A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:rsidR="00DA5316" w:rsidRDefault="00DA5316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</w:rPr>
      </w:pPr>
    </w:p>
    <w:p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AD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</w:p>
    <w:p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platného zákona </w:t>
      </w:r>
      <w:r w:rsidR="00255931" w:rsidRPr="00DE12ED">
        <w:rPr>
          <w:color w:val="auto"/>
        </w:rPr>
        <w:t>č. 235/2004 Sb.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méněpráce</w:t>
      </w:r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(méněpráce).</w:t>
      </w:r>
    </w:p>
    <w:p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projektové dokumentace bude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 týkající se vypracování projektové dokumentace,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 předmětu</w:t>
      </w:r>
      <w:r w:rsidRPr="00F74F1B">
        <w:rPr>
          <w:color w:val="auto"/>
        </w:rPr>
        <w:t xml:space="preserve"> smlouvy týkajícího se výkonu AD, 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lastRenderedPageBreak/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:rsidR="001F2993" w:rsidRDefault="001F2993" w:rsidP="001F2993">
      <w:pPr>
        <w:pStyle w:val="Odstavecseseznamem"/>
      </w:pPr>
    </w:p>
    <w:p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>odst. 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:rsidR="00185BA6" w:rsidRPr="00EE4D14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2B4A4D">
        <w:rPr>
          <w:color w:val="auto"/>
        </w:rPr>
        <w:t xml:space="preserve">Kromě </w:t>
      </w:r>
      <w:r w:rsidRPr="00EE4D14">
        <w:rPr>
          <w:color w:val="auto"/>
        </w:rPr>
        <w:t>povinných náležito</w:t>
      </w:r>
      <w:r w:rsidR="00DE12ED" w:rsidRPr="00EE4D14">
        <w:rPr>
          <w:color w:val="auto"/>
        </w:rPr>
        <w:t xml:space="preserve">stí je </w:t>
      </w:r>
      <w:r w:rsidR="004B3CC3" w:rsidRPr="00EE4D14">
        <w:rPr>
          <w:color w:val="auto"/>
        </w:rPr>
        <w:t>Zhotovitel</w:t>
      </w:r>
      <w:r w:rsidRPr="00EE4D14">
        <w:rPr>
          <w:color w:val="auto"/>
        </w:rPr>
        <w:t xml:space="preserve"> povinen uvádět v jednotlivých </w:t>
      </w:r>
      <w:r w:rsidRPr="002B4A4D">
        <w:rPr>
          <w:color w:val="auto"/>
        </w:rPr>
        <w:t xml:space="preserve">fakturách přesný </w:t>
      </w:r>
      <w:r w:rsidRPr="00D53343">
        <w:rPr>
          <w:color w:val="auto"/>
        </w:rPr>
        <w:t xml:space="preserve">název akce </w:t>
      </w:r>
      <w:r w:rsidR="00495E7C">
        <w:rPr>
          <w:b/>
          <w:color w:val="auto"/>
        </w:rPr>
        <w:t>„</w:t>
      </w:r>
      <w:r w:rsidR="00495E7C" w:rsidRPr="00495E7C">
        <w:rPr>
          <w:b/>
          <w:color w:val="auto"/>
        </w:rPr>
        <w:t>II/</w:t>
      </w:r>
      <w:r w:rsidR="0066451C">
        <w:rPr>
          <w:b/>
          <w:color w:val="auto"/>
        </w:rPr>
        <w:t>360 Trnava - Rudíkov</w:t>
      </w:r>
      <w:r w:rsidR="00495E7C" w:rsidRPr="00495E7C">
        <w:rPr>
          <w:b/>
          <w:color w:val="auto"/>
        </w:rPr>
        <w:t xml:space="preserve">, </w:t>
      </w:r>
      <w:r w:rsidR="0066451C">
        <w:rPr>
          <w:b/>
          <w:color w:val="auto"/>
        </w:rPr>
        <w:t>1</w:t>
      </w:r>
      <w:r w:rsidR="00E34EBC">
        <w:rPr>
          <w:b/>
          <w:color w:val="auto"/>
        </w:rPr>
        <w:t>. stavba</w:t>
      </w:r>
      <w:r w:rsidR="00EE4D14">
        <w:rPr>
          <w:b/>
          <w:color w:val="auto"/>
        </w:rPr>
        <w:t>,</w:t>
      </w:r>
      <w:r w:rsidR="00381FC2" w:rsidRPr="00EE4D14">
        <w:rPr>
          <w:b/>
          <w:color w:val="auto"/>
        </w:rPr>
        <w:t xml:space="preserve"> PD</w:t>
      </w:r>
      <w:r w:rsidR="000B3854" w:rsidRPr="00EE4D14">
        <w:rPr>
          <w:b/>
          <w:color w:val="auto"/>
        </w:rPr>
        <w:t>“</w:t>
      </w:r>
      <w:r w:rsidR="00EA1B7D">
        <w:rPr>
          <w:b/>
          <w:color w:val="auto"/>
        </w:rPr>
        <w:t xml:space="preserve"> </w:t>
      </w:r>
      <w:r w:rsidR="00EA1B7D" w:rsidRPr="007A7782">
        <w:rPr>
          <w:b/>
          <w:color w:val="auto"/>
        </w:rPr>
        <w:t>a registrační číslo projektu</w:t>
      </w:r>
      <w:r w:rsidR="007A7782" w:rsidRPr="007A7782">
        <w:rPr>
          <w:color w:val="auto"/>
        </w:rPr>
        <w:t xml:space="preserve">, které </w:t>
      </w:r>
      <w:r w:rsidR="00333D88">
        <w:rPr>
          <w:color w:val="auto"/>
        </w:rPr>
        <w:t>sděleno</w:t>
      </w:r>
      <w:r w:rsidR="007A7782" w:rsidRPr="00E831CF">
        <w:rPr>
          <w:color w:val="auto"/>
        </w:rPr>
        <w:t xml:space="preserve"> dodatečně po registraci projektu</w:t>
      </w:r>
      <w:r w:rsidR="00872731" w:rsidRPr="00EE4D14">
        <w:rPr>
          <w:b/>
          <w:color w:val="auto"/>
        </w:rPr>
        <w:t>.</w:t>
      </w:r>
      <w:r w:rsidR="0020723A" w:rsidRPr="00EE4D14">
        <w:rPr>
          <w:b/>
          <w:color w:val="auto"/>
        </w:rPr>
        <w:t xml:space="preserve"> </w:t>
      </w:r>
    </w:p>
    <w:p w:rsidR="00C4146A" w:rsidRPr="00EE4D14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C86A52">
        <w:rPr>
          <w:color w:val="auto"/>
        </w:rPr>
        <w:t xml:space="preserve">587 33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6.1.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:rsidR="00CF3195" w:rsidRPr="00CF3195" w:rsidRDefault="00CF3195" w:rsidP="00CF3195">
      <w:pPr>
        <w:spacing w:line="264" w:lineRule="auto"/>
        <w:ind w:left="567" w:hanging="567"/>
        <w:rPr>
          <w:rFonts w:ascii="Arial" w:hAnsi="Arial" w:cs="Arial"/>
          <w:sz w:val="22"/>
          <w:szCs w:val="22"/>
        </w:rPr>
      </w:pPr>
    </w:p>
    <w:p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lastRenderedPageBreak/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>. 2.2</w:t>
      </w:r>
      <w:r w:rsidR="004D1855">
        <w:rPr>
          <w:rFonts w:eastAsia="MS Mincho"/>
          <w:color w:val="auto"/>
        </w:rPr>
        <w:t xml:space="preserve">. písm. a), b), 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:rsidR="009223B7" w:rsidRDefault="009223B7" w:rsidP="009223B7">
      <w:pPr>
        <w:pStyle w:val="Odstavecseseznamem"/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</w:pP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:rsidR="005F7CB3" w:rsidRDefault="005F7CB3" w:rsidP="009223B7">
      <w:pPr>
        <w:pStyle w:val="Odstavecseseznamem"/>
        <w:rPr>
          <w:rFonts w:eastAsia="MS Mincho"/>
        </w:rPr>
      </w:pPr>
    </w:p>
    <w:p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  <w:rPr>
          <w:spacing w:val="2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:rsidR="009223B7" w:rsidRDefault="009223B7" w:rsidP="009223B7">
      <w:pPr>
        <w:pStyle w:val="Odstavecseseznamem"/>
        <w:rPr>
          <w:rFonts w:eastAsia="MS Mincho"/>
          <w:spacing w:val="6"/>
        </w:rPr>
      </w:pPr>
    </w:p>
    <w:p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:rsidR="004A4DDB" w:rsidRDefault="004A4DD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:rsidR="00EB784E" w:rsidRPr="003F228C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právních účinků kolaudačního souhlasu/nabytím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60636E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>Zhotovitel se zavazuje, že po celou dobu plnění svého závazku z této smlouvy bude mít na vlastní náklady sjednáno profesní pojištění odpovědnosti za škodu způsobenou třetím 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:rsidR="0060636E" w:rsidRDefault="0060636E" w:rsidP="0060636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:rsidR="00EB784E" w:rsidRDefault="00EB784E" w:rsidP="00EB784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:rsidR="00EB784E" w:rsidRDefault="00EB784E" w:rsidP="00EB784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lastRenderedPageBreak/>
        <w:t xml:space="preserve">Zhotovitel není oprávněn bez písemného souhlasu Objednatele nechat se při výkonu činnosti </w:t>
      </w:r>
      <w:r w:rsidR="00E24E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:rsidR="00EB784E" w:rsidRDefault="00EB784E" w:rsidP="00EB784E">
      <w:pPr>
        <w:pStyle w:val="Odstavecseseznamem"/>
      </w:pPr>
    </w:p>
    <w:p w:rsidR="00EB784E" w:rsidRPr="00AF2F0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  <w:spacing w:val="-2"/>
        </w:rPr>
        <w:t>Zhotovitel se zavazuje před realizací výkonu AD dle odst. 2.</w:t>
      </w:r>
      <w:r w:rsidR="0086383A">
        <w:rPr>
          <w:color w:val="auto"/>
          <w:spacing w:val="-2"/>
        </w:rPr>
        <w:t>2</w:t>
      </w:r>
      <w:r w:rsidRPr="000C03D4">
        <w:rPr>
          <w:color w:val="auto"/>
          <w:spacing w:val="-2"/>
        </w:rPr>
        <w:t xml:space="preserve">. písm. </w:t>
      </w:r>
      <w:r w:rsidR="0086383A">
        <w:rPr>
          <w:color w:val="auto"/>
          <w:spacing w:val="-2"/>
        </w:rPr>
        <w:t>d</w:t>
      </w:r>
      <w:r w:rsidRPr="000C03D4">
        <w:rPr>
          <w:color w:val="auto"/>
          <w:spacing w:val="-2"/>
        </w:rPr>
        <w:t>) této smlouvy uzavřít</w:t>
      </w:r>
      <w:r w:rsidRPr="000C03D4">
        <w:rPr>
          <w:color w:val="auto"/>
        </w:rPr>
        <w:t xml:space="preserve"> pojistnou smlouvu na pojištění odpovědnosti za škody způsobené při výkonu činností dle této smlouvy s </w:t>
      </w:r>
      <w:r w:rsidR="001C1A9D">
        <w:rPr>
          <w:color w:val="auto"/>
        </w:rPr>
        <w:t>p</w:t>
      </w:r>
      <w:r w:rsidRPr="000C03D4">
        <w:rPr>
          <w:color w:val="auto"/>
        </w:rPr>
        <w:t xml:space="preserve">ojistným plněním ve výši </w:t>
      </w:r>
      <w:r w:rsidR="001C1A9D">
        <w:rPr>
          <w:color w:val="auto"/>
        </w:rPr>
        <w:t>min. 2</w:t>
      </w:r>
      <w:r w:rsidR="00683E83" w:rsidRPr="000C03D4">
        <w:rPr>
          <w:color w:val="auto"/>
        </w:rPr>
        <w:t> 000 000</w:t>
      </w:r>
      <w:r w:rsidRPr="000C03D4">
        <w:rPr>
          <w:color w:val="auto"/>
        </w:rPr>
        <w:t xml:space="preserve"> Kč. Uvedená pojistná smlouva </w:t>
      </w:r>
      <w:r w:rsidRPr="000C03D4">
        <w:rPr>
          <w:color w:val="auto"/>
          <w:spacing w:val="2"/>
        </w:rPr>
        <w:t>bude platná a účinná po celou dobu realizace výkonu AD. Náklady na pojištění nese Zhotovitel a jsou zahrnuty ve sjednané ceně</w:t>
      </w:r>
      <w:r w:rsidR="00C91F49" w:rsidRPr="000C03D4">
        <w:rPr>
          <w:color w:val="auto"/>
        </w:rPr>
        <w:t xml:space="preserve"> dle odst. 4.4</w:t>
      </w:r>
      <w:r w:rsidRPr="000C03D4">
        <w:rPr>
          <w:color w:val="auto"/>
        </w:rPr>
        <w:t>. této smlouvy</w:t>
      </w:r>
      <w:r w:rsidRPr="00AF2F0E">
        <w:rPr>
          <w:color w:val="auto"/>
        </w:rPr>
        <w:t>.</w:t>
      </w:r>
    </w:p>
    <w:p w:rsidR="008E2D8F" w:rsidRDefault="008E2D8F" w:rsidP="008E2D8F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F970AB" w:rsidRPr="00EB784E" w:rsidRDefault="001A5CC2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-4"/>
        </w:rPr>
        <w:t>K</w:t>
      </w:r>
      <w:r w:rsidR="00F970AB" w:rsidRPr="00EB784E">
        <w:rPr>
          <w:color w:val="auto"/>
          <w:spacing w:val="-4"/>
        </w:rPr>
        <w:t>opii dokladu o uzavření pojistné smlouvy předloží Zhotovitel Objednateli</w:t>
      </w:r>
      <w:r w:rsidR="00F970AB" w:rsidRPr="00EB784E">
        <w:rPr>
          <w:color w:val="auto"/>
        </w:rPr>
        <w:t xml:space="preserve"> nejpozději do 10 dnů od první výzvy k započetí výkonu </w:t>
      </w:r>
      <w:r w:rsidR="00EF1707">
        <w:rPr>
          <w:color w:val="auto"/>
        </w:rPr>
        <w:t>AD</w:t>
      </w:r>
      <w:r w:rsidR="00F970AB" w:rsidRPr="00EB784E">
        <w:rPr>
          <w:color w:val="auto"/>
        </w:rPr>
        <w:t xml:space="preserve">. V případě změny pojištění předloží Zhotovitel bezodkladně Objednateli nový doklad prokazující uzavření </w:t>
      </w:r>
      <w:r w:rsidR="00F970AB" w:rsidRPr="00EB784E">
        <w:rPr>
          <w:color w:val="auto"/>
          <w:spacing w:val="2"/>
        </w:rPr>
        <w:t>příslušné pojistné smlouvy. Zhotovitel se zavazuje uplatnit veškeré pojistné události související</w:t>
      </w:r>
      <w:r w:rsidR="00F970AB" w:rsidRPr="00EB784E">
        <w:rPr>
          <w:color w:val="auto"/>
        </w:rPr>
        <w:t xml:space="preserve"> s plněním předmětu této smlouvy u pojišťovny bez zbytečného odkladu.</w:t>
      </w:r>
    </w:p>
    <w:p w:rsidR="00E60167" w:rsidRDefault="00E60167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>. 3.1.</w:t>
      </w:r>
      <w:r w:rsidR="00476C17" w:rsidRPr="003F228C">
        <w:rPr>
          <w:color w:val="auto"/>
        </w:rPr>
        <w:t xml:space="preserve"> této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0,2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PDPS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:rsidR="00967AFD" w:rsidRPr="001C664A" w:rsidRDefault="00967AFD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>platí obdobně ustanovení odst. 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 smlouvy. </w:t>
      </w:r>
    </w:p>
    <w:p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:rsidR="00035F0D" w:rsidRDefault="00035F0D" w:rsidP="00035F0D">
      <w:pPr>
        <w:pStyle w:val="Odstavecseseznamem"/>
        <w:rPr>
          <w:rFonts w:eastAsia="MS Mincho"/>
        </w:rPr>
      </w:pPr>
    </w:p>
    <w:p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:rsidR="00ED677E" w:rsidRDefault="00ED677E" w:rsidP="00ED677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:rsidR="00C21EE0" w:rsidRDefault="00C21EE0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:rsidR="00C21EE0" w:rsidRDefault="00C21EE0" w:rsidP="00C21EE0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lastRenderedPageBreak/>
        <w:t>Zhotovitel se zavazuje spolupracovat s objednatelem na vypořádání připomínek poskytovatele dotace k projektové dokumentaci a rozpočtu stavby</w:t>
      </w:r>
      <w:r w:rsidR="00C845BD">
        <w:rPr>
          <w:rFonts w:ascii="Arial" w:eastAsia="MS Mincho" w:hAnsi="Arial" w:cs="Arial"/>
          <w:sz w:val="22"/>
        </w:rPr>
        <w:t xml:space="preserve">, </w:t>
      </w:r>
      <w:r w:rsidR="00C845BD">
        <w:rPr>
          <w:rFonts w:ascii="Arial" w:hAnsi="Arial" w:cs="Arial"/>
          <w:sz w:val="22"/>
          <w:szCs w:val="22"/>
        </w:rPr>
        <w:t>v případě, že realizace stavby bude spolufinancována z prostředků EU</w:t>
      </w:r>
      <w:r w:rsidR="0020723A">
        <w:rPr>
          <w:rFonts w:ascii="Arial" w:eastAsia="MS Mincho" w:hAnsi="Arial" w:cs="Arial"/>
          <w:sz w:val="22"/>
        </w:rPr>
        <w:t>.</w:t>
      </w:r>
    </w:p>
    <w:p w:rsidR="008767B7" w:rsidRDefault="008767B7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:rsidR="008225EE" w:rsidRDefault="008225EE" w:rsidP="008225EE">
      <w:pPr>
        <w:pStyle w:val="Odstavecseseznamem"/>
      </w:pPr>
    </w:p>
    <w:p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 xml:space="preserve">. tohoto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:rsidR="008852EC" w:rsidRDefault="008852EC" w:rsidP="008852EC">
      <w:pPr>
        <w:pStyle w:val="Odstavecseseznamem"/>
      </w:pPr>
    </w:p>
    <w:p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>dle odst.  11.1., 11.2.,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2129F3" w:rsidRDefault="002129F3" w:rsidP="002129F3">
      <w:pPr>
        <w:pStyle w:val="Odstavecseseznamem"/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:rsidR="0020723A" w:rsidRDefault="0020723A" w:rsidP="0020723A">
      <w:pPr>
        <w:pStyle w:val="Odstavecseseznamem"/>
      </w:pPr>
    </w:p>
    <w:p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:rsidR="00E60167" w:rsidRP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:rsidR="00AB6A59" w:rsidRPr="000C03D4" w:rsidRDefault="00AB6A59" w:rsidP="00AB6A59">
      <w:pPr>
        <w:pStyle w:val="Odstavecseseznamem"/>
      </w:pPr>
    </w:p>
    <w:p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>t. 9</w:t>
      </w:r>
      <w:r w:rsidR="007865CF" w:rsidRPr="00AB6A59">
        <w:rPr>
          <w:color w:val="auto"/>
        </w:rPr>
        <w:t>.3</w:t>
      </w:r>
      <w:r w:rsidR="00E65651" w:rsidRPr="00AB6A59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 odstoupit od smlouvy.</w:t>
      </w:r>
    </w:p>
    <w:p w:rsidR="00AB6A59" w:rsidRDefault="00AB6A59" w:rsidP="00AB6A59">
      <w:pPr>
        <w:pStyle w:val="Odstavecseseznamem"/>
      </w:pPr>
    </w:p>
    <w:p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:rsidR="0093098A" w:rsidRDefault="0093098A" w:rsidP="0093098A">
      <w:pPr>
        <w:pStyle w:val="Odstavecseseznamem"/>
      </w:pPr>
    </w:p>
    <w:p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:rsidR="0093098A" w:rsidRDefault="0093098A" w:rsidP="0093098A">
      <w:pPr>
        <w:pStyle w:val="Odstavecseseznamem"/>
        <w:rPr>
          <w:spacing w:val="-4"/>
        </w:rPr>
      </w:pPr>
    </w:p>
    <w:p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:rsidR="001639CC" w:rsidRPr="000C03D4" w:rsidRDefault="001639CC" w:rsidP="001639CC">
      <w:pPr>
        <w:pStyle w:val="Odstavecseseznamem"/>
        <w:rPr>
          <w:rFonts w:eastAsia="MS Mincho"/>
        </w:rPr>
      </w:pPr>
    </w:p>
    <w:p w:rsidR="001639CC" w:rsidRP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 xml:space="preserve">stavebního povolení, zaniká právo Objednatele požadovat plnění výkonu </w:t>
      </w:r>
      <w:r w:rsidR="00ED1EAF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 a smlouva uplynutím této lhůty pozbude platnosti.</w:t>
      </w:r>
    </w:p>
    <w:p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lastRenderedPageBreak/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:rsidR="00934732" w:rsidRDefault="00934732" w:rsidP="00934732">
      <w:pPr>
        <w:pStyle w:val="Odstavecseseznamem"/>
        <w:rPr>
          <w:rFonts w:eastAsia="MS Mincho"/>
        </w:rPr>
      </w:pPr>
    </w:p>
    <w:p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:rsidR="00055363" w:rsidRDefault="00055363" w:rsidP="00055363">
      <w:pPr>
        <w:pStyle w:val="Odstavecseseznamem"/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:rsidR="00934732" w:rsidRDefault="00934732" w:rsidP="00934732">
      <w:pPr>
        <w:pStyle w:val="Odstavecseseznamem"/>
        <w:rPr>
          <w:rFonts w:eastAsia="MS Mincho"/>
        </w:rPr>
      </w:pP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:rsidR="00934732" w:rsidRDefault="00934732" w:rsidP="00934732">
      <w:pPr>
        <w:pStyle w:val="Odstavecseseznamem"/>
        <w:rPr>
          <w:spacing w:val="-4"/>
        </w:rPr>
      </w:pPr>
    </w:p>
    <w:p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:rsidR="00497111" w:rsidRDefault="00497111" w:rsidP="00497111">
      <w:pPr>
        <w:pStyle w:val="Odstavecseseznamem"/>
      </w:pPr>
    </w:p>
    <w:p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Tato smlouva se vyhotovuje v pěti stejnopisech, z nichž každý je s platností originálu. Objednatel obdrží po oboustranném podpisu tři stejnopisy, Zhotovitel</w:t>
      </w:r>
      <w:r w:rsidR="009028FD" w:rsidRPr="00934732">
        <w:rPr>
          <w:rFonts w:eastAsia="MS Mincho"/>
          <w:color w:val="auto"/>
        </w:rPr>
        <w:t xml:space="preserve"> dva stejnopisy.</w:t>
      </w:r>
    </w:p>
    <w:p w:rsidR="00934732" w:rsidRDefault="00934732" w:rsidP="00934732">
      <w:pPr>
        <w:pStyle w:val="Odstavecseseznamem"/>
        <w:rPr>
          <w:spacing w:val="-6"/>
        </w:rPr>
      </w:pP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:rsidR="00035644" w:rsidRDefault="00035644" w:rsidP="00035644">
      <w:pPr>
        <w:pStyle w:val="Odstavecseseznamem"/>
      </w:pPr>
    </w:p>
    <w:p w:rsidR="00035644" w:rsidRPr="00035644" w:rsidRDefault="0003564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 w:rsidR="008767B7">
        <w:rPr>
          <w:color w:val="auto"/>
          <w:spacing w:val="-6"/>
        </w:rPr>
        <w:t>30</w:t>
      </w:r>
      <w:r w:rsidRPr="00E831CF">
        <w:rPr>
          <w:color w:val="auto"/>
          <w:spacing w:val="-6"/>
        </w:rPr>
        <w:t>.</w:t>
      </w:r>
    </w:p>
    <w:p w:rsidR="00035644" w:rsidRDefault="00035644" w:rsidP="00035644">
      <w:pPr>
        <w:pStyle w:val="Odstavecseseznamem"/>
      </w:pPr>
    </w:p>
    <w:p w:rsidR="00035644" w:rsidRDefault="0003564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minimálně do konce roku 20</w:t>
      </w:r>
      <w:r w:rsidR="008767B7">
        <w:rPr>
          <w:color w:val="auto"/>
          <w:spacing w:val="-6"/>
        </w:rPr>
        <w:t>30</w:t>
      </w:r>
      <w:r w:rsidRPr="00E831CF">
        <w:rPr>
          <w:color w:val="auto"/>
          <w:spacing w:val="-6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</w:t>
      </w:r>
      <w:r>
        <w:rPr>
          <w:color w:val="auto"/>
          <w:spacing w:val="-6"/>
        </w:rPr>
        <w:t>.</w:t>
      </w:r>
    </w:p>
    <w:p w:rsidR="005F7CB3" w:rsidRDefault="005F7CB3" w:rsidP="00934732">
      <w:pPr>
        <w:pStyle w:val="Odstavecseseznamem"/>
      </w:pPr>
    </w:p>
    <w:p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:rsidR="00934732" w:rsidRDefault="00934732" w:rsidP="00934732">
      <w:pPr>
        <w:pStyle w:val="Odstavecseseznamem"/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>ových stránkách Kraje Vysočina.</w:t>
      </w:r>
    </w:p>
    <w:p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:rsidR="00934732" w:rsidRDefault="00934732" w:rsidP="00934732">
      <w:pPr>
        <w:pStyle w:val="Odstavecseseznamem"/>
        <w:rPr>
          <w:spacing w:val="-4"/>
        </w:rPr>
      </w:pPr>
    </w:p>
    <w:p w:rsidR="00C4146A" w:rsidRP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:rsidR="001C664A" w:rsidRPr="001C664A" w:rsidRDefault="001C664A" w:rsidP="00F34E8A">
      <w:pPr>
        <w:pStyle w:val="Odstavecseseznamem"/>
        <w:spacing w:line="264" w:lineRule="auto"/>
      </w:pPr>
    </w:p>
    <w:p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lastRenderedPageBreak/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bookmarkStart w:id="0" w:name="_GoBack"/>
      <w:r w:rsidR="0017530A">
        <w:rPr>
          <w:color w:val="auto"/>
        </w:rPr>
        <w:t>Díla</w:t>
      </w:r>
      <w:bookmarkEnd w:id="0"/>
      <w:r w:rsidR="00AC1F68" w:rsidRPr="00AC1F68">
        <w:rPr>
          <w:color w:val="auto"/>
        </w:rPr>
        <w:t>.</w:t>
      </w:r>
    </w:p>
    <w:p w:rsidR="00922D41" w:rsidRPr="001C664A" w:rsidRDefault="00922D41" w:rsidP="00A772C8">
      <w:pPr>
        <w:pStyle w:val="Zkladntextodsazen"/>
        <w:spacing w:before="120" w:line="264" w:lineRule="auto"/>
        <w:jc w:val="both"/>
        <w:rPr>
          <w:color w:val="auto"/>
        </w:rPr>
      </w:pPr>
      <w:r>
        <w:rPr>
          <w:color w:val="auto"/>
        </w:rPr>
        <w:t>Příloha č. 2 – Struktura resumé vypracovaného na základě DSP</w:t>
      </w:r>
    </w:p>
    <w:p w:rsidR="00DC17CE" w:rsidRDefault="00DC17CE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dne  </w:t>
      </w:r>
    </w:p>
    <w:p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:rsidR="008F0399" w:rsidRDefault="008F0399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:rsidR="008E2D8F" w:rsidRDefault="008E2D8F" w:rsidP="00F34E8A">
      <w:pPr>
        <w:pStyle w:val="Zkladntextodsazen"/>
        <w:spacing w:line="264" w:lineRule="auto"/>
        <w:jc w:val="both"/>
        <w:rPr>
          <w:bCs/>
          <w:color w:val="auto"/>
        </w:rPr>
      </w:pPr>
    </w:p>
    <w:p w:rsidR="00864A61" w:rsidRPr="001C664A" w:rsidRDefault="00E22253" w:rsidP="00F34E8A">
      <w:pPr>
        <w:pStyle w:val="Zkladntextodsazen"/>
        <w:spacing w:line="264" w:lineRule="auto"/>
        <w:jc w:val="both"/>
        <w:rPr>
          <w:bCs/>
          <w:color w:val="auto"/>
        </w:rPr>
      </w:pPr>
      <w:r>
        <w:rPr>
          <w:bCs/>
          <w:color w:val="auto"/>
        </w:rPr>
        <w:t>Ing. Jan Hyliš</w:t>
      </w:r>
      <w:r>
        <w:rPr>
          <w:bCs/>
          <w:color w:val="auto"/>
        </w:rPr>
        <w:tab/>
      </w:r>
      <w:r>
        <w:rPr>
          <w:bCs/>
          <w:color w:val="auto"/>
        </w:rPr>
        <w:tab/>
      </w:r>
      <w:r w:rsidR="00534B28">
        <w:rPr>
          <w:bCs/>
          <w:color w:val="auto"/>
        </w:rPr>
        <w:t xml:space="preserve"> </w:t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</w:p>
    <w:p w:rsidR="00E22253" w:rsidRDefault="00E22253" w:rsidP="00E22253">
      <w:p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E22253">
        <w:rPr>
          <w:rFonts w:ascii="Arial" w:eastAsia="MS Mincho" w:hAnsi="Arial" w:cs="Arial"/>
          <w:sz w:val="22"/>
          <w:szCs w:val="22"/>
          <w:lang w:eastAsia="ar-SA"/>
        </w:rPr>
        <w:t>člen rady kraje pro oblast dopravy</w:t>
      </w:r>
    </w:p>
    <w:p w:rsidR="00922D41" w:rsidRDefault="00E22253" w:rsidP="00B47759">
      <w:pPr>
        <w:jc w:val="both"/>
        <w:rPr>
          <w:bCs/>
        </w:rPr>
      </w:pPr>
      <w:r w:rsidRPr="00E22253">
        <w:rPr>
          <w:rFonts w:ascii="Arial" w:eastAsia="MS Mincho" w:hAnsi="Arial" w:cs="Arial"/>
          <w:sz w:val="22"/>
          <w:szCs w:val="22"/>
          <w:lang w:eastAsia="ar-SA"/>
        </w:rPr>
        <w:t>a silničního hospodářství</w:t>
      </w:r>
      <w:r w:rsidR="00864A61" w:rsidRPr="001C664A">
        <w:rPr>
          <w:bCs/>
        </w:rPr>
        <w:t xml:space="preserve">   </w:t>
      </w:r>
    </w:p>
    <w:p w:rsidR="00922D41" w:rsidRDefault="00922D41">
      <w:pPr>
        <w:overflowPunct/>
        <w:autoSpaceDE/>
        <w:autoSpaceDN/>
        <w:adjustRightInd/>
        <w:textAlignment w:val="auto"/>
        <w:rPr>
          <w:bCs/>
        </w:rPr>
      </w:pPr>
      <w:r>
        <w:rPr>
          <w:bCs/>
        </w:rPr>
        <w:br w:type="page"/>
      </w:r>
    </w:p>
    <w:p w:rsidR="00922D41" w:rsidRPr="00F74F1B" w:rsidRDefault="00922D41" w:rsidP="00922D41">
      <w:pPr>
        <w:pStyle w:val="Zkladntext2"/>
        <w:tabs>
          <w:tab w:val="left" w:pos="4678"/>
        </w:tabs>
        <w:suppressAutoHyphens/>
        <w:rPr>
          <w:b/>
        </w:rPr>
      </w:pPr>
      <w:r w:rsidRPr="00F74F1B">
        <w:rPr>
          <w:b/>
        </w:rPr>
        <w:lastRenderedPageBreak/>
        <w:t xml:space="preserve">Příloha č. </w:t>
      </w:r>
      <w:r>
        <w:rPr>
          <w:b/>
        </w:rPr>
        <w:t>2</w:t>
      </w:r>
    </w:p>
    <w:p w:rsidR="00922D41" w:rsidRPr="00F74F1B" w:rsidRDefault="00922D41" w:rsidP="00922D41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922D41" w:rsidRPr="00F74F1B" w:rsidRDefault="00922D41" w:rsidP="00922D41">
      <w:pPr>
        <w:pStyle w:val="Zkladntext2"/>
        <w:tabs>
          <w:tab w:val="left" w:pos="4678"/>
        </w:tabs>
        <w:suppressAutoHyphens/>
        <w:jc w:val="center"/>
        <w:rPr>
          <w:b/>
        </w:rPr>
      </w:pPr>
      <w:r w:rsidRPr="00F74F1B">
        <w:rPr>
          <w:b/>
        </w:rPr>
        <w:t>Struktura resumé</w:t>
      </w:r>
    </w:p>
    <w:p w:rsidR="00922D41" w:rsidRPr="00F74F1B" w:rsidRDefault="00922D41" w:rsidP="00922D41">
      <w:pPr>
        <w:suppressAutoHyphens/>
        <w:rPr>
          <w:rFonts w:ascii="Arial" w:hAnsi="Arial" w:cs="Arial"/>
          <w:b/>
          <w:i/>
          <w:sz w:val="22"/>
          <w:szCs w:val="22"/>
        </w:rPr>
      </w:pPr>
    </w:p>
    <w:p w:rsidR="00922D41" w:rsidRPr="00F74F1B" w:rsidRDefault="00922D41" w:rsidP="00922D41">
      <w:pPr>
        <w:overflowPunct/>
        <w:autoSpaceDE/>
        <w:autoSpaceDN/>
        <w:adjustRightInd/>
        <w:spacing w:before="120" w:line="288" w:lineRule="auto"/>
        <w:jc w:val="both"/>
        <w:textAlignment w:val="auto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F74F1B">
        <w:rPr>
          <w:rFonts w:ascii="Arial" w:hAnsi="Arial" w:cs="Arial"/>
          <w:b/>
          <w:bCs/>
          <w:i/>
          <w:sz w:val="22"/>
          <w:szCs w:val="22"/>
          <w:u w:val="single"/>
        </w:rPr>
        <w:t>Struktura resumé vypracovaného na základě DSP:</w:t>
      </w:r>
    </w:p>
    <w:p w:rsidR="00922D41" w:rsidRPr="00F74F1B" w:rsidRDefault="00922D41" w:rsidP="00922D41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922D41" w:rsidRPr="00F74F1B" w:rsidRDefault="00922D41" w:rsidP="00922D41">
      <w:pPr>
        <w:numPr>
          <w:ilvl w:val="0"/>
          <w:numId w:val="38"/>
        </w:numPr>
        <w:overflowPunct/>
        <w:autoSpaceDE/>
        <w:autoSpaceDN/>
        <w:adjustRightInd/>
        <w:spacing w:after="200" w:line="276" w:lineRule="auto"/>
        <w:ind w:left="42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Identifikace negativních dopadů projektu (max. 1 strana A4):</w:t>
      </w:r>
    </w:p>
    <w:p w:rsidR="00922D41" w:rsidRPr="00F74F1B" w:rsidRDefault="00922D41" w:rsidP="00922D41">
      <w:pPr>
        <w:numPr>
          <w:ilvl w:val="1"/>
          <w:numId w:val="38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AD3819">
        <w:rPr>
          <w:rFonts w:ascii="Arial" w:hAnsi="Arial" w:cs="Arial"/>
          <w:spacing w:val="6"/>
          <w:sz w:val="22"/>
          <w:szCs w:val="22"/>
        </w:rPr>
        <w:t xml:space="preserve">výčet všech negativních dopadů realizace a provozu projektu, jejich stručný </w:t>
      </w:r>
      <w:r w:rsidRPr="00E30EB5">
        <w:rPr>
          <w:rFonts w:ascii="Arial" w:hAnsi="Arial" w:cs="Arial"/>
          <w:spacing w:val="6"/>
          <w:sz w:val="22"/>
          <w:szCs w:val="22"/>
        </w:rPr>
        <w:t>popis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 w:rsidRPr="00AD3819">
        <w:rPr>
          <w:rFonts w:ascii="Arial" w:hAnsi="Arial" w:cs="Arial"/>
          <w:spacing w:val="6"/>
          <w:sz w:val="22"/>
          <w:szCs w:val="22"/>
        </w:rPr>
        <w:t>a předpokládaní</w:t>
      </w:r>
      <w:r w:rsidRPr="00F74F1B">
        <w:rPr>
          <w:rFonts w:ascii="Arial" w:hAnsi="Arial" w:cs="Arial"/>
          <w:sz w:val="22"/>
          <w:szCs w:val="22"/>
        </w:rPr>
        <w:t xml:space="preserve"> nositelé,</w:t>
      </w:r>
    </w:p>
    <w:p w:rsidR="00922D41" w:rsidRPr="00F74F1B" w:rsidRDefault="00922D41" w:rsidP="00922D41">
      <w:pPr>
        <w:numPr>
          <w:ilvl w:val="1"/>
          <w:numId w:val="38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návrhy na eliminaci negativních dopadů. </w:t>
      </w:r>
    </w:p>
    <w:p w:rsidR="00922D41" w:rsidRPr="00F74F1B" w:rsidRDefault="00922D41" w:rsidP="00922D41">
      <w:pPr>
        <w:numPr>
          <w:ilvl w:val="0"/>
          <w:numId w:val="38"/>
        </w:numPr>
        <w:overflowPunct/>
        <w:autoSpaceDE/>
        <w:autoSpaceDN/>
        <w:adjustRightInd/>
        <w:spacing w:after="200" w:line="276" w:lineRule="auto"/>
        <w:ind w:left="42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Možnost alternativních řešení (pokud nejsou relevantní – zdůvodnění proč):</w:t>
      </w:r>
    </w:p>
    <w:p w:rsidR="00922D41" w:rsidRPr="00F74F1B" w:rsidRDefault="00922D41" w:rsidP="00922D41">
      <w:pPr>
        <w:numPr>
          <w:ilvl w:val="1"/>
          <w:numId w:val="38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zdůvodnění, proč byla nulová varianta (ponechání st</w:t>
      </w:r>
      <w:r>
        <w:rPr>
          <w:rFonts w:ascii="Arial" w:hAnsi="Arial" w:cs="Arial"/>
          <w:sz w:val="22"/>
          <w:szCs w:val="22"/>
        </w:rPr>
        <w:t xml:space="preserve">ávajícího stavu) posouzena jako </w:t>
      </w:r>
      <w:r w:rsidRPr="00F74F1B">
        <w:rPr>
          <w:rFonts w:ascii="Arial" w:hAnsi="Arial" w:cs="Arial"/>
          <w:sz w:val="22"/>
          <w:szCs w:val="22"/>
        </w:rPr>
        <w:t>nevyhovující,</w:t>
      </w:r>
    </w:p>
    <w:p w:rsidR="00922D41" w:rsidRPr="00F74F1B" w:rsidRDefault="00922D41" w:rsidP="00922D41">
      <w:pPr>
        <w:numPr>
          <w:ilvl w:val="1"/>
          <w:numId w:val="38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popis alternativních řešení a jejich slabých a silných stránek,</w:t>
      </w:r>
    </w:p>
    <w:p w:rsidR="00922D41" w:rsidRPr="00F74F1B" w:rsidRDefault="00922D41" w:rsidP="00922D41">
      <w:pPr>
        <w:numPr>
          <w:ilvl w:val="1"/>
          <w:numId w:val="38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porovnání alternativ,</w:t>
      </w:r>
    </w:p>
    <w:p w:rsidR="00922D41" w:rsidRPr="00F74F1B" w:rsidRDefault="00922D41" w:rsidP="00922D41">
      <w:pPr>
        <w:numPr>
          <w:ilvl w:val="1"/>
          <w:numId w:val="38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AD3819">
        <w:rPr>
          <w:rFonts w:ascii="Arial" w:hAnsi="Arial" w:cs="Arial"/>
          <w:spacing w:val="-4"/>
          <w:sz w:val="22"/>
          <w:szCs w:val="22"/>
        </w:rPr>
        <w:t>zdůvodnění vybrané alternativy, zejména zdůvodnění hospodárnosti, účelnosti a efektivnosti</w:t>
      </w:r>
      <w:r w:rsidRPr="00F74F1B">
        <w:rPr>
          <w:rFonts w:ascii="Arial" w:hAnsi="Arial" w:cs="Arial"/>
          <w:sz w:val="22"/>
          <w:szCs w:val="22"/>
        </w:rPr>
        <w:t xml:space="preserve"> vybrané alternativy.</w:t>
      </w:r>
    </w:p>
    <w:p w:rsidR="00922D41" w:rsidRPr="00F74F1B" w:rsidRDefault="00922D41" w:rsidP="00922D41">
      <w:pPr>
        <w:ind w:left="708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V tomto bodě je třeba vyhodnotit, jaké výhody, nevýhody a rizika mají následující varianty </w:t>
      </w:r>
      <w:r w:rsidRPr="00AD3819">
        <w:rPr>
          <w:rFonts w:ascii="Arial" w:hAnsi="Arial" w:cs="Arial"/>
          <w:spacing w:val="-4"/>
          <w:sz w:val="22"/>
          <w:szCs w:val="22"/>
        </w:rPr>
        <w:t>z pohledu bezpečnosti, plynulosti provozu, dopadů na životní prostředí a vazby na navazující</w:t>
      </w:r>
      <w:r w:rsidRPr="00F74F1B">
        <w:rPr>
          <w:rFonts w:ascii="Arial" w:hAnsi="Arial" w:cs="Arial"/>
          <w:sz w:val="22"/>
          <w:szCs w:val="22"/>
        </w:rPr>
        <w:t xml:space="preserve"> stavby (max. 2 strany A4):</w:t>
      </w:r>
    </w:p>
    <w:p w:rsidR="00922D41" w:rsidRPr="00F74F1B" w:rsidRDefault="00922D41" w:rsidP="00922D41">
      <w:pPr>
        <w:numPr>
          <w:ilvl w:val="3"/>
          <w:numId w:val="38"/>
        </w:numPr>
        <w:overflowPunct/>
        <w:autoSpaceDE/>
        <w:autoSpaceDN/>
        <w:adjustRightInd/>
        <w:spacing w:after="200" w:line="276" w:lineRule="auto"/>
        <w:ind w:left="993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ponechání stávajícího stavu</w:t>
      </w:r>
      <w:r>
        <w:rPr>
          <w:rFonts w:ascii="Arial" w:hAnsi="Arial" w:cs="Arial"/>
          <w:sz w:val="22"/>
          <w:szCs w:val="22"/>
        </w:rPr>
        <w:t>,</w:t>
      </w:r>
    </w:p>
    <w:p w:rsidR="00922D41" w:rsidRPr="00F74F1B" w:rsidRDefault="00922D41" w:rsidP="00922D41">
      <w:pPr>
        <w:numPr>
          <w:ilvl w:val="3"/>
          <w:numId w:val="38"/>
        </w:numPr>
        <w:overflowPunct/>
        <w:autoSpaceDE/>
        <w:autoSpaceDN/>
        <w:adjustRightInd/>
        <w:spacing w:after="200" w:line="276" w:lineRule="auto"/>
        <w:ind w:left="993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výměna obrusné vrstvy</w:t>
      </w:r>
      <w:r>
        <w:rPr>
          <w:rFonts w:ascii="Arial" w:hAnsi="Arial" w:cs="Arial"/>
          <w:sz w:val="22"/>
          <w:szCs w:val="22"/>
        </w:rPr>
        <w:t>,</w:t>
      </w:r>
    </w:p>
    <w:p w:rsidR="00922D41" w:rsidRPr="00F74F1B" w:rsidRDefault="00922D41" w:rsidP="00922D41">
      <w:pPr>
        <w:numPr>
          <w:ilvl w:val="3"/>
          <w:numId w:val="38"/>
        </w:numPr>
        <w:overflowPunct/>
        <w:autoSpaceDE/>
        <w:autoSpaceDN/>
        <w:adjustRightInd/>
        <w:spacing w:after="200" w:line="276" w:lineRule="auto"/>
        <w:ind w:left="993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navržené řešení</w:t>
      </w:r>
      <w:r>
        <w:rPr>
          <w:rFonts w:ascii="Arial" w:hAnsi="Arial" w:cs="Arial"/>
          <w:sz w:val="22"/>
          <w:szCs w:val="22"/>
        </w:rPr>
        <w:t>,</w:t>
      </w:r>
    </w:p>
    <w:p w:rsidR="00922D41" w:rsidRPr="00F74F1B" w:rsidRDefault="00922D41" w:rsidP="00922D41">
      <w:pPr>
        <w:numPr>
          <w:ilvl w:val="3"/>
          <w:numId w:val="38"/>
        </w:numPr>
        <w:overflowPunct/>
        <w:autoSpaceDE/>
        <w:autoSpaceDN/>
        <w:adjustRightInd/>
        <w:spacing w:after="200" w:line="276" w:lineRule="auto"/>
        <w:ind w:left="993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jiná varianta</w:t>
      </w:r>
      <w:r>
        <w:rPr>
          <w:rFonts w:ascii="Arial" w:hAnsi="Arial" w:cs="Arial"/>
          <w:sz w:val="22"/>
          <w:szCs w:val="22"/>
        </w:rPr>
        <w:t>.</w:t>
      </w:r>
    </w:p>
    <w:p w:rsidR="00922D41" w:rsidRPr="00F74F1B" w:rsidRDefault="00922D41" w:rsidP="00922D41">
      <w:pPr>
        <w:numPr>
          <w:ilvl w:val="0"/>
          <w:numId w:val="38"/>
        </w:numPr>
        <w:overflowPunct/>
        <w:autoSpaceDE/>
        <w:autoSpaceDN/>
        <w:adjustRightInd/>
        <w:spacing w:after="200" w:line="276" w:lineRule="auto"/>
        <w:ind w:left="42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Podstatné technické a technologické aspekty realizace projektu (max. 2 strany A4):</w:t>
      </w:r>
    </w:p>
    <w:p w:rsidR="00922D41" w:rsidRPr="00F74F1B" w:rsidRDefault="00922D41" w:rsidP="00922D41">
      <w:pPr>
        <w:numPr>
          <w:ilvl w:val="0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zvolené technické řešení stavby komunikace a použitá technologie výstavby,</w:t>
      </w:r>
    </w:p>
    <w:p w:rsidR="00922D41" w:rsidRPr="00F74F1B" w:rsidRDefault="00922D41" w:rsidP="00922D41">
      <w:pPr>
        <w:numPr>
          <w:ilvl w:val="0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informace o výchozích diagnostických posudcích,</w:t>
      </w:r>
    </w:p>
    <w:p w:rsidR="00922D41" w:rsidRPr="00F74F1B" w:rsidRDefault="00922D41" w:rsidP="00922D41">
      <w:pPr>
        <w:numPr>
          <w:ilvl w:val="0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potřebné energetické a materiálové toky, </w:t>
      </w:r>
    </w:p>
    <w:p w:rsidR="00922D41" w:rsidRPr="00F74F1B" w:rsidRDefault="00922D41" w:rsidP="00922D41">
      <w:pPr>
        <w:numPr>
          <w:ilvl w:val="0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údaje o životnosti stavebních objektů.</w:t>
      </w:r>
    </w:p>
    <w:p w:rsidR="00922D41" w:rsidRPr="00F74F1B" w:rsidRDefault="00922D41" w:rsidP="00922D41">
      <w:pPr>
        <w:numPr>
          <w:ilvl w:val="0"/>
          <w:numId w:val="38"/>
        </w:numPr>
        <w:overflowPunct/>
        <w:autoSpaceDE/>
        <w:autoSpaceDN/>
        <w:adjustRightInd/>
        <w:spacing w:after="200" w:line="276" w:lineRule="auto"/>
        <w:ind w:left="426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Stručný popis vlivů projektu na hlavní složky životního prostředí a jejich významu (standardní rozsah dle požadavků na DSP):</w:t>
      </w:r>
    </w:p>
    <w:p w:rsidR="00922D41" w:rsidRPr="00F74F1B" w:rsidRDefault="00922D41" w:rsidP="00922D41">
      <w:pPr>
        <w:numPr>
          <w:ilvl w:val="1"/>
          <w:numId w:val="38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vlivy na ovzduší a hlukovou situaci, vlivy na obyvatelstvo,</w:t>
      </w:r>
    </w:p>
    <w:p w:rsidR="00922D41" w:rsidRPr="00F74F1B" w:rsidRDefault="00922D41" w:rsidP="00922D41">
      <w:pPr>
        <w:numPr>
          <w:ilvl w:val="1"/>
          <w:numId w:val="38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vlivy na vodu, půdu a horninové prostředí,</w:t>
      </w:r>
    </w:p>
    <w:p w:rsidR="00922D41" w:rsidRPr="00F74F1B" w:rsidRDefault="00922D41" w:rsidP="00922D41">
      <w:pPr>
        <w:numPr>
          <w:ilvl w:val="1"/>
          <w:numId w:val="38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vlivy na flóru, faunu a ekosystémy,</w:t>
      </w:r>
    </w:p>
    <w:p w:rsidR="00922D41" w:rsidRPr="00F74F1B" w:rsidRDefault="00922D41" w:rsidP="00922D41">
      <w:pPr>
        <w:numPr>
          <w:ilvl w:val="1"/>
          <w:numId w:val="38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 vlivy na krajinu a kulturní památky.</w:t>
      </w:r>
    </w:p>
    <w:p w:rsidR="00922D41" w:rsidRPr="00F74F1B" w:rsidRDefault="00922D41" w:rsidP="00922D41">
      <w:pPr>
        <w:numPr>
          <w:ilvl w:val="0"/>
          <w:numId w:val="38"/>
        </w:numPr>
        <w:overflowPunct/>
        <w:autoSpaceDE/>
        <w:autoSpaceDN/>
        <w:adjustRightInd/>
        <w:spacing w:after="200" w:line="276" w:lineRule="auto"/>
        <w:ind w:left="426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Výsledky procesu EIA, posouzení vlivů na území soustavy Natura 2000, pokud jsou u projektu relevantní; návrh zmírňujících a kompenzačních opatření.</w:t>
      </w:r>
    </w:p>
    <w:p w:rsidR="00922D41" w:rsidRPr="00F74F1B" w:rsidRDefault="00922D41" w:rsidP="00922D41">
      <w:pPr>
        <w:numPr>
          <w:ilvl w:val="0"/>
          <w:numId w:val="38"/>
        </w:numPr>
        <w:overflowPunct/>
        <w:autoSpaceDE/>
        <w:autoSpaceDN/>
        <w:adjustRightInd/>
        <w:spacing w:after="200" w:line="276" w:lineRule="auto"/>
        <w:ind w:left="426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Přesná výměra stávající a navrhované plochy vozovky</w:t>
      </w:r>
      <w:r>
        <w:rPr>
          <w:rFonts w:ascii="Arial" w:hAnsi="Arial" w:cs="Arial"/>
          <w:sz w:val="22"/>
          <w:szCs w:val="22"/>
        </w:rPr>
        <w:t>.</w:t>
      </w:r>
    </w:p>
    <w:p w:rsidR="00C4146A" w:rsidRPr="001C664A" w:rsidRDefault="00864A61" w:rsidP="00B47759">
      <w:pPr>
        <w:jc w:val="both"/>
      </w:pPr>
      <w:r w:rsidRPr="001C664A">
        <w:rPr>
          <w:bCs/>
        </w:rPr>
        <w:t xml:space="preserve">           </w:t>
      </w:r>
    </w:p>
    <w:sectPr w:rsidR="00C4146A" w:rsidRPr="001C664A" w:rsidSect="001A6E27">
      <w:footerReference w:type="default" r:id="rId8"/>
      <w:headerReference w:type="first" r:id="rId9"/>
      <w:footerReference w:type="first" r:id="rId10"/>
      <w:pgSz w:w="11906" w:h="16838" w:code="9"/>
      <w:pgMar w:top="1304" w:right="1134" w:bottom="993" w:left="1134" w:header="709" w:footer="59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49D" w:rsidRDefault="0009749D">
      <w:r>
        <w:separator/>
      </w:r>
    </w:p>
  </w:endnote>
  <w:endnote w:type="continuationSeparator" w:id="0">
    <w:p w:rsidR="0009749D" w:rsidRDefault="0009749D">
      <w:r>
        <w:continuationSeparator/>
      </w:r>
    </w:p>
  </w:endnote>
  <w:endnote w:type="continuationNotice" w:id="1">
    <w:p w:rsidR="0009749D" w:rsidRDefault="0009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49D" w:rsidRDefault="0009749D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384059">
      <w:rPr>
        <w:rFonts w:ascii="Arial" w:hAnsi="Arial" w:cs="Arial"/>
        <w:noProof/>
        <w:sz w:val="20"/>
        <w:szCs w:val="20"/>
      </w:rPr>
      <w:t>5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384059">
      <w:rPr>
        <w:rFonts w:ascii="Arial" w:hAnsi="Arial" w:cs="Arial"/>
        <w:noProof/>
        <w:sz w:val="20"/>
        <w:szCs w:val="20"/>
      </w:rPr>
      <w:t>17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49D" w:rsidRDefault="0009749D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384059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384059">
      <w:rPr>
        <w:rFonts w:ascii="Arial" w:hAnsi="Arial" w:cs="Arial"/>
        <w:noProof/>
        <w:sz w:val="20"/>
        <w:szCs w:val="20"/>
      </w:rPr>
      <w:t>17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49D" w:rsidRDefault="0009749D">
      <w:r>
        <w:separator/>
      </w:r>
    </w:p>
  </w:footnote>
  <w:footnote w:type="continuationSeparator" w:id="0">
    <w:p w:rsidR="0009749D" w:rsidRDefault="0009749D">
      <w:r>
        <w:continuationSeparator/>
      </w:r>
    </w:p>
  </w:footnote>
  <w:footnote w:type="continuationNotice" w:id="1">
    <w:p w:rsidR="0009749D" w:rsidRDefault="0009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49D" w:rsidRPr="00C82BDA" w:rsidRDefault="0009749D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09749D" w:rsidRPr="00C82BDA" w:rsidRDefault="0009749D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09749D" w:rsidRDefault="00097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4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0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8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3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9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3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8"/>
  </w:num>
  <w:num w:numId="2">
    <w:abstractNumId w:val="19"/>
  </w:num>
  <w:num w:numId="3">
    <w:abstractNumId w:val="43"/>
  </w:num>
  <w:num w:numId="4">
    <w:abstractNumId w:val="0"/>
  </w:num>
  <w:num w:numId="5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29"/>
  </w:num>
  <w:num w:numId="8">
    <w:abstractNumId w:val="34"/>
  </w:num>
  <w:num w:numId="9">
    <w:abstractNumId w:val="30"/>
  </w:num>
  <w:num w:numId="10">
    <w:abstractNumId w:val="9"/>
  </w:num>
  <w:num w:numId="11">
    <w:abstractNumId w:val="5"/>
  </w:num>
  <w:num w:numId="12">
    <w:abstractNumId w:val="33"/>
  </w:num>
  <w:num w:numId="13">
    <w:abstractNumId w:val="11"/>
  </w:num>
  <w:num w:numId="14">
    <w:abstractNumId w:val="24"/>
  </w:num>
  <w:num w:numId="15">
    <w:abstractNumId w:val="27"/>
  </w:num>
  <w:num w:numId="16">
    <w:abstractNumId w:val="6"/>
  </w:num>
  <w:num w:numId="17">
    <w:abstractNumId w:val="20"/>
  </w:num>
  <w:num w:numId="18">
    <w:abstractNumId w:val="3"/>
  </w:num>
  <w:num w:numId="19">
    <w:abstractNumId w:val="12"/>
  </w:num>
  <w:num w:numId="20">
    <w:abstractNumId w:val="37"/>
  </w:num>
  <w:num w:numId="21">
    <w:abstractNumId w:val="35"/>
  </w:num>
  <w:num w:numId="22">
    <w:abstractNumId w:val="15"/>
  </w:num>
  <w:num w:numId="23">
    <w:abstractNumId w:val="10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18"/>
  </w:num>
  <w:num w:numId="27">
    <w:abstractNumId w:val="42"/>
  </w:num>
  <w:num w:numId="28">
    <w:abstractNumId w:val="21"/>
  </w:num>
  <w:num w:numId="29">
    <w:abstractNumId w:val="23"/>
  </w:num>
  <w:num w:numId="30">
    <w:abstractNumId w:val="8"/>
  </w:num>
  <w:num w:numId="31">
    <w:abstractNumId w:val="2"/>
  </w:num>
  <w:num w:numId="32">
    <w:abstractNumId w:val="17"/>
  </w:num>
  <w:num w:numId="33">
    <w:abstractNumId w:val="4"/>
  </w:num>
  <w:num w:numId="34">
    <w:abstractNumId w:val="14"/>
  </w:num>
  <w:num w:numId="35">
    <w:abstractNumId w:val="31"/>
  </w:num>
  <w:num w:numId="36">
    <w:abstractNumId w:val="7"/>
  </w:num>
  <w:num w:numId="37">
    <w:abstractNumId w:val="28"/>
  </w:num>
  <w:num w:numId="38">
    <w:abstractNumId w:val="36"/>
  </w:num>
  <w:num w:numId="39">
    <w:abstractNumId w:val="1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61B6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217A"/>
    <w:rsid w:val="000537E6"/>
    <w:rsid w:val="00055363"/>
    <w:rsid w:val="00066031"/>
    <w:rsid w:val="000673A1"/>
    <w:rsid w:val="00071177"/>
    <w:rsid w:val="00077D4B"/>
    <w:rsid w:val="0008324D"/>
    <w:rsid w:val="00091594"/>
    <w:rsid w:val="000918D1"/>
    <w:rsid w:val="00091E33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7FA9"/>
    <w:rsid w:val="000D3FCC"/>
    <w:rsid w:val="000D469B"/>
    <w:rsid w:val="000D597C"/>
    <w:rsid w:val="000D616F"/>
    <w:rsid w:val="000D703E"/>
    <w:rsid w:val="000E036C"/>
    <w:rsid w:val="000E1BAA"/>
    <w:rsid w:val="000E1FAB"/>
    <w:rsid w:val="000E3394"/>
    <w:rsid w:val="000E45FD"/>
    <w:rsid w:val="000E71BC"/>
    <w:rsid w:val="000F31E4"/>
    <w:rsid w:val="000F3857"/>
    <w:rsid w:val="000F3C24"/>
    <w:rsid w:val="000F4B04"/>
    <w:rsid w:val="00100F2E"/>
    <w:rsid w:val="00104463"/>
    <w:rsid w:val="00104688"/>
    <w:rsid w:val="001061B8"/>
    <w:rsid w:val="0011108D"/>
    <w:rsid w:val="0011628B"/>
    <w:rsid w:val="001162D3"/>
    <w:rsid w:val="00137877"/>
    <w:rsid w:val="00141E8D"/>
    <w:rsid w:val="00144325"/>
    <w:rsid w:val="00144F19"/>
    <w:rsid w:val="001517E3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91D52"/>
    <w:rsid w:val="0019229F"/>
    <w:rsid w:val="001A1820"/>
    <w:rsid w:val="001A3221"/>
    <w:rsid w:val="001A5CC2"/>
    <w:rsid w:val="001A5CD1"/>
    <w:rsid w:val="001A5EEE"/>
    <w:rsid w:val="001A69C7"/>
    <w:rsid w:val="001A6E27"/>
    <w:rsid w:val="001A7AFE"/>
    <w:rsid w:val="001B0164"/>
    <w:rsid w:val="001B2229"/>
    <w:rsid w:val="001B511A"/>
    <w:rsid w:val="001B6C6F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4D54"/>
    <w:rsid w:val="001E766F"/>
    <w:rsid w:val="001F01CF"/>
    <w:rsid w:val="001F2993"/>
    <w:rsid w:val="001F3270"/>
    <w:rsid w:val="001F42E2"/>
    <w:rsid w:val="001F6EBC"/>
    <w:rsid w:val="00200F49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613"/>
    <w:rsid w:val="00215F89"/>
    <w:rsid w:val="00217A97"/>
    <w:rsid w:val="00222440"/>
    <w:rsid w:val="0022259B"/>
    <w:rsid w:val="0022365D"/>
    <w:rsid w:val="002251D3"/>
    <w:rsid w:val="002263A5"/>
    <w:rsid w:val="00231260"/>
    <w:rsid w:val="00231F1F"/>
    <w:rsid w:val="00232FBD"/>
    <w:rsid w:val="00235C04"/>
    <w:rsid w:val="00240206"/>
    <w:rsid w:val="00240FCA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6375"/>
    <w:rsid w:val="002B1072"/>
    <w:rsid w:val="002B3653"/>
    <w:rsid w:val="002B3935"/>
    <w:rsid w:val="002B4485"/>
    <w:rsid w:val="002B4A4D"/>
    <w:rsid w:val="002B5911"/>
    <w:rsid w:val="002C1277"/>
    <w:rsid w:val="002C1615"/>
    <w:rsid w:val="002C2CB7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4E21"/>
    <w:rsid w:val="00320815"/>
    <w:rsid w:val="00320FC8"/>
    <w:rsid w:val="00327844"/>
    <w:rsid w:val="00330CC4"/>
    <w:rsid w:val="0033239A"/>
    <w:rsid w:val="00332A86"/>
    <w:rsid w:val="00332F67"/>
    <w:rsid w:val="00333D88"/>
    <w:rsid w:val="003353A0"/>
    <w:rsid w:val="00341F61"/>
    <w:rsid w:val="003449E1"/>
    <w:rsid w:val="00344B46"/>
    <w:rsid w:val="00346720"/>
    <w:rsid w:val="00347A6C"/>
    <w:rsid w:val="003518B7"/>
    <w:rsid w:val="00352E1A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059"/>
    <w:rsid w:val="003847C8"/>
    <w:rsid w:val="003867F0"/>
    <w:rsid w:val="00386A4D"/>
    <w:rsid w:val="00391F9B"/>
    <w:rsid w:val="003954A1"/>
    <w:rsid w:val="00395A28"/>
    <w:rsid w:val="00395BE3"/>
    <w:rsid w:val="003A0FE0"/>
    <w:rsid w:val="003A11ED"/>
    <w:rsid w:val="003A3E04"/>
    <w:rsid w:val="003A6E09"/>
    <w:rsid w:val="003A77D6"/>
    <w:rsid w:val="003B270D"/>
    <w:rsid w:val="003B6744"/>
    <w:rsid w:val="003C0D02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4B1F"/>
    <w:rsid w:val="003E535E"/>
    <w:rsid w:val="003E5D68"/>
    <w:rsid w:val="003E77DC"/>
    <w:rsid w:val="003F228C"/>
    <w:rsid w:val="003F4416"/>
    <w:rsid w:val="003F6C66"/>
    <w:rsid w:val="003F79A5"/>
    <w:rsid w:val="00404B97"/>
    <w:rsid w:val="00407DB6"/>
    <w:rsid w:val="00410628"/>
    <w:rsid w:val="00413CCF"/>
    <w:rsid w:val="004142D9"/>
    <w:rsid w:val="00414B89"/>
    <w:rsid w:val="00415184"/>
    <w:rsid w:val="00415CB9"/>
    <w:rsid w:val="004208CF"/>
    <w:rsid w:val="0042219E"/>
    <w:rsid w:val="004241E3"/>
    <w:rsid w:val="00426BF8"/>
    <w:rsid w:val="00426E47"/>
    <w:rsid w:val="00426FDA"/>
    <w:rsid w:val="004306CD"/>
    <w:rsid w:val="004354F6"/>
    <w:rsid w:val="004360CE"/>
    <w:rsid w:val="00436127"/>
    <w:rsid w:val="00437BA6"/>
    <w:rsid w:val="004411CC"/>
    <w:rsid w:val="0044583D"/>
    <w:rsid w:val="00445958"/>
    <w:rsid w:val="00445B23"/>
    <w:rsid w:val="00455DA7"/>
    <w:rsid w:val="00460691"/>
    <w:rsid w:val="0046318B"/>
    <w:rsid w:val="00466C50"/>
    <w:rsid w:val="00467D66"/>
    <w:rsid w:val="004707B9"/>
    <w:rsid w:val="0047104C"/>
    <w:rsid w:val="004716A4"/>
    <w:rsid w:val="0047214F"/>
    <w:rsid w:val="00475097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5E7C"/>
    <w:rsid w:val="00497111"/>
    <w:rsid w:val="004A2503"/>
    <w:rsid w:val="004A3AF8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606A"/>
    <w:rsid w:val="004E00F2"/>
    <w:rsid w:val="004E171F"/>
    <w:rsid w:val="004E2800"/>
    <w:rsid w:val="004E39E5"/>
    <w:rsid w:val="004E5C1C"/>
    <w:rsid w:val="004F57ED"/>
    <w:rsid w:val="00503B60"/>
    <w:rsid w:val="00504CF3"/>
    <w:rsid w:val="005078DC"/>
    <w:rsid w:val="00510D74"/>
    <w:rsid w:val="00512AEC"/>
    <w:rsid w:val="0051402A"/>
    <w:rsid w:val="005162DB"/>
    <w:rsid w:val="00521C2B"/>
    <w:rsid w:val="005249F6"/>
    <w:rsid w:val="005249FE"/>
    <w:rsid w:val="0052665B"/>
    <w:rsid w:val="00530C9C"/>
    <w:rsid w:val="00534B28"/>
    <w:rsid w:val="00535D83"/>
    <w:rsid w:val="005408D5"/>
    <w:rsid w:val="00541646"/>
    <w:rsid w:val="00542CDF"/>
    <w:rsid w:val="0054422D"/>
    <w:rsid w:val="005451B8"/>
    <w:rsid w:val="00546095"/>
    <w:rsid w:val="005507ED"/>
    <w:rsid w:val="00554ADA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5786"/>
    <w:rsid w:val="00576228"/>
    <w:rsid w:val="00576947"/>
    <w:rsid w:val="00582203"/>
    <w:rsid w:val="00582254"/>
    <w:rsid w:val="0059463F"/>
    <w:rsid w:val="005951FE"/>
    <w:rsid w:val="005A03FE"/>
    <w:rsid w:val="005A37E3"/>
    <w:rsid w:val="005A7CB8"/>
    <w:rsid w:val="005B2EDA"/>
    <w:rsid w:val="005B4CA7"/>
    <w:rsid w:val="005B4D8F"/>
    <w:rsid w:val="005B712A"/>
    <w:rsid w:val="005C0A2C"/>
    <w:rsid w:val="005C567E"/>
    <w:rsid w:val="005C6793"/>
    <w:rsid w:val="005D4D19"/>
    <w:rsid w:val="005D4DEB"/>
    <w:rsid w:val="005D613D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53C2"/>
    <w:rsid w:val="005F5673"/>
    <w:rsid w:val="005F7CB3"/>
    <w:rsid w:val="006020E4"/>
    <w:rsid w:val="00604319"/>
    <w:rsid w:val="0060636E"/>
    <w:rsid w:val="00606CF5"/>
    <w:rsid w:val="006137C2"/>
    <w:rsid w:val="006158B4"/>
    <w:rsid w:val="00617AF1"/>
    <w:rsid w:val="00620C12"/>
    <w:rsid w:val="0062389E"/>
    <w:rsid w:val="00624BAC"/>
    <w:rsid w:val="00625760"/>
    <w:rsid w:val="00626F5F"/>
    <w:rsid w:val="00627A0F"/>
    <w:rsid w:val="006313B3"/>
    <w:rsid w:val="00632ADB"/>
    <w:rsid w:val="006337B9"/>
    <w:rsid w:val="00635F9C"/>
    <w:rsid w:val="006365C1"/>
    <w:rsid w:val="00636CB1"/>
    <w:rsid w:val="00644568"/>
    <w:rsid w:val="0064487A"/>
    <w:rsid w:val="0064532D"/>
    <w:rsid w:val="006515E4"/>
    <w:rsid w:val="00653420"/>
    <w:rsid w:val="00654B53"/>
    <w:rsid w:val="006574CD"/>
    <w:rsid w:val="00663FC7"/>
    <w:rsid w:val="0066451C"/>
    <w:rsid w:val="006665DA"/>
    <w:rsid w:val="0067174A"/>
    <w:rsid w:val="00672155"/>
    <w:rsid w:val="006743DB"/>
    <w:rsid w:val="00674D23"/>
    <w:rsid w:val="00675E04"/>
    <w:rsid w:val="006817A9"/>
    <w:rsid w:val="006832D3"/>
    <w:rsid w:val="00683E83"/>
    <w:rsid w:val="00690700"/>
    <w:rsid w:val="00691694"/>
    <w:rsid w:val="006919F0"/>
    <w:rsid w:val="006923EA"/>
    <w:rsid w:val="006947AB"/>
    <w:rsid w:val="00695186"/>
    <w:rsid w:val="00695DD9"/>
    <w:rsid w:val="00696602"/>
    <w:rsid w:val="006A0882"/>
    <w:rsid w:val="006A3CA2"/>
    <w:rsid w:val="006A4041"/>
    <w:rsid w:val="006A40FD"/>
    <w:rsid w:val="006A67EB"/>
    <w:rsid w:val="006A6D11"/>
    <w:rsid w:val="006B2456"/>
    <w:rsid w:val="006B303A"/>
    <w:rsid w:val="006B3F2D"/>
    <w:rsid w:val="006B4C23"/>
    <w:rsid w:val="006C199C"/>
    <w:rsid w:val="006C2144"/>
    <w:rsid w:val="006C2D8B"/>
    <w:rsid w:val="006C4BD1"/>
    <w:rsid w:val="006C5748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F7D"/>
    <w:rsid w:val="006F60F9"/>
    <w:rsid w:val="007005F5"/>
    <w:rsid w:val="007027BB"/>
    <w:rsid w:val="007054EB"/>
    <w:rsid w:val="007120C2"/>
    <w:rsid w:val="00715A68"/>
    <w:rsid w:val="007174F6"/>
    <w:rsid w:val="00717EBE"/>
    <w:rsid w:val="007265EC"/>
    <w:rsid w:val="007304B6"/>
    <w:rsid w:val="00732D89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620D1"/>
    <w:rsid w:val="00762347"/>
    <w:rsid w:val="007624CA"/>
    <w:rsid w:val="0076276E"/>
    <w:rsid w:val="007638CF"/>
    <w:rsid w:val="00763A0A"/>
    <w:rsid w:val="007664A0"/>
    <w:rsid w:val="007665F6"/>
    <w:rsid w:val="00771B01"/>
    <w:rsid w:val="00772D1A"/>
    <w:rsid w:val="007747CC"/>
    <w:rsid w:val="00774833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741A"/>
    <w:rsid w:val="007A75EF"/>
    <w:rsid w:val="007A7782"/>
    <w:rsid w:val="007B50C3"/>
    <w:rsid w:val="007C1907"/>
    <w:rsid w:val="007C65F4"/>
    <w:rsid w:val="007D1A92"/>
    <w:rsid w:val="007D2A80"/>
    <w:rsid w:val="007D42A0"/>
    <w:rsid w:val="007D71A4"/>
    <w:rsid w:val="007D7B34"/>
    <w:rsid w:val="007E1F28"/>
    <w:rsid w:val="007E24B7"/>
    <w:rsid w:val="007E3BBF"/>
    <w:rsid w:val="007E469C"/>
    <w:rsid w:val="007E4F5F"/>
    <w:rsid w:val="007E5AFE"/>
    <w:rsid w:val="007E6A84"/>
    <w:rsid w:val="007E73E6"/>
    <w:rsid w:val="007E7AF3"/>
    <w:rsid w:val="007F0FCD"/>
    <w:rsid w:val="007F1DAE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6538"/>
    <w:rsid w:val="00837F96"/>
    <w:rsid w:val="008408DA"/>
    <w:rsid w:val="008418CC"/>
    <w:rsid w:val="008421C8"/>
    <w:rsid w:val="00842C29"/>
    <w:rsid w:val="008479DC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FCE"/>
    <w:rsid w:val="008673F3"/>
    <w:rsid w:val="00870BC9"/>
    <w:rsid w:val="00871F44"/>
    <w:rsid w:val="008721E9"/>
    <w:rsid w:val="00872566"/>
    <w:rsid w:val="00872731"/>
    <w:rsid w:val="008767B7"/>
    <w:rsid w:val="008767E3"/>
    <w:rsid w:val="0088303B"/>
    <w:rsid w:val="008852EC"/>
    <w:rsid w:val="00885E99"/>
    <w:rsid w:val="0088665E"/>
    <w:rsid w:val="008879A3"/>
    <w:rsid w:val="00890FAD"/>
    <w:rsid w:val="0089609B"/>
    <w:rsid w:val="00896F0C"/>
    <w:rsid w:val="008A0F46"/>
    <w:rsid w:val="008A48D9"/>
    <w:rsid w:val="008A5B28"/>
    <w:rsid w:val="008A5C2C"/>
    <w:rsid w:val="008B191F"/>
    <w:rsid w:val="008B58EF"/>
    <w:rsid w:val="008B600C"/>
    <w:rsid w:val="008C035B"/>
    <w:rsid w:val="008C044D"/>
    <w:rsid w:val="008C2FE2"/>
    <w:rsid w:val="008C371A"/>
    <w:rsid w:val="008C3A26"/>
    <w:rsid w:val="008C7747"/>
    <w:rsid w:val="008D0B03"/>
    <w:rsid w:val="008D0D49"/>
    <w:rsid w:val="008D1043"/>
    <w:rsid w:val="008D2C69"/>
    <w:rsid w:val="008D50B1"/>
    <w:rsid w:val="008D5C26"/>
    <w:rsid w:val="008D61B5"/>
    <w:rsid w:val="008D63C9"/>
    <w:rsid w:val="008E2D8F"/>
    <w:rsid w:val="008E4473"/>
    <w:rsid w:val="008E69F5"/>
    <w:rsid w:val="008E6D26"/>
    <w:rsid w:val="008F0399"/>
    <w:rsid w:val="008F392D"/>
    <w:rsid w:val="008F6682"/>
    <w:rsid w:val="008F7970"/>
    <w:rsid w:val="00902636"/>
    <w:rsid w:val="009028FD"/>
    <w:rsid w:val="0090343A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C84"/>
    <w:rsid w:val="0092669A"/>
    <w:rsid w:val="009273C8"/>
    <w:rsid w:val="00930492"/>
    <w:rsid w:val="0093098A"/>
    <w:rsid w:val="00930FC9"/>
    <w:rsid w:val="00931486"/>
    <w:rsid w:val="009317E9"/>
    <w:rsid w:val="00931C2D"/>
    <w:rsid w:val="0093209A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7C97"/>
    <w:rsid w:val="00961043"/>
    <w:rsid w:val="00961ECC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6688"/>
    <w:rsid w:val="009A05BF"/>
    <w:rsid w:val="009A236A"/>
    <w:rsid w:val="009A4725"/>
    <w:rsid w:val="009A61E8"/>
    <w:rsid w:val="009C0ED0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69B5"/>
    <w:rsid w:val="00A30A18"/>
    <w:rsid w:val="00A3202F"/>
    <w:rsid w:val="00A33DF1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5FF1"/>
    <w:rsid w:val="00A86FBC"/>
    <w:rsid w:val="00A87D21"/>
    <w:rsid w:val="00A92E8B"/>
    <w:rsid w:val="00A948BA"/>
    <w:rsid w:val="00A968D0"/>
    <w:rsid w:val="00AA21A1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1F68"/>
    <w:rsid w:val="00AC36E2"/>
    <w:rsid w:val="00AC45AA"/>
    <w:rsid w:val="00AC646F"/>
    <w:rsid w:val="00AC6B99"/>
    <w:rsid w:val="00AC7AA8"/>
    <w:rsid w:val="00AD17B1"/>
    <w:rsid w:val="00AD6F83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2367F"/>
    <w:rsid w:val="00B24831"/>
    <w:rsid w:val="00B2646C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381F"/>
    <w:rsid w:val="00B750F6"/>
    <w:rsid w:val="00B758F2"/>
    <w:rsid w:val="00B833CA"/>
    <w:rsid w:val="00B8405F"/>
    <w:rsid w:val="00B85021"/>
    <w:rsid w:val="00B8622E"/>
    <w:rsid w:val="00B868CF"/>
    <w:rsid w:val="00B90D1A"/>
    <w:rsid w:val="00B94828"/>
    <w:rsid w:val="00B95857"/>
    <w:rsid w:val="00B97544"/>
    <w:rsid w:val="00BA0886"/>
    <w:rsid w:val="00BA36AA"/>
    <w:rsid w:val="00BA5005"/>
    <w:rsid w:val="00BA5685"/>
    <w:rsid w:val="00BB0B09"/>
    <w:rsid w:val="00BB5B7B"/>
    <w:rsid w:val="00BB5E9E"/>
    <w:rsid w:val="00BB77B5"/>
    <w:rsid w:val="00BC0D63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75AC"/>
    <w:rsid w:val="00BF77DA"/>
    <w:rsid w:val="00BF7944"/>
    <w:rsid w:val="00BF7A54"/>
    <w:rsid w:val="00BF7AE6"/>
    <w:rsid w:val="00BF7FA1"/>
    <w:rsid w:val="00BF7FA6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D3B"/>
    <w:rsid w:val="00C458BB"/>
    <w:rsid w:val="00C45F99"/>
    <w:rsid w:val="00C520C0"/>
    <w:rsid w:val="00C52593"/>
    <w:rsid w:val="00C53A1A"/>
    <w:rsid w:val="00C53FEC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26C7"/>
    <w:rsid w:val="00C733A4"/>
    <w:rsid w:val="00C77CAF"/>
    <w:rsid w:val="00C806AC"/>
    <w:rsid w:val="00C80BFA"/>
    <w:rsid w:val="00C82BDA"/>
    <w:rsid w:val="00C830A9"/>
    <w:rsid w:val="00C845BD"/>
    <w:rsid w:val="00C86691"/>
    <w:rsid w:val="00C86A52"/>
    <w:rsid w:val="00C87BC5"/>
    <w:rsid w:val="00C87D7A"/>
    <w:rsid w:val="00C9147D"/>
    <w:rsid w:val="00C91DE9"/>
    <w:rsid w:val="00C91F49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3741"/>
    <w:rsid w:val="00CD05D7"/>
    <w:rsid w:val="00CD4AAF"/>
    <w:rsid w:val="00CD5C60"/>
    <w:rsid w:val="00CE00E5"/>
    <w:rsid w:val="00CE2B5F"/>
    <w:rsid w:val="00CE6180"/>
    <w:rsid w:val="00CE7BCB"/>
    <w:rsid w:val="00CF3195"/>
    <w:rsid w:val="00CF745D"/>
    <w:rsid w:val="00D007B2"/>
    <w:rsid w:val="00D016F2"/>
    <w:rsid w:val="00D02F47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3E5"/>
    <w:rsid w:val="00D31675"/>
    <w:rsid w:val="00D341CA"/>
    <w:rsid w:val="00D35F7C"/>
    <w:rsid w:val="00D3622A"/>
    <w:rsid w:val="00D3641F"/>
    <w:rsid w:val="00D37F26"/>
    <w:rsid w:val="00D400FB"/>
    <w:rsid w:val="00D413CA"/>
    <w:rsid w:val="00D45168"/>
    <w:rsid w:val="00D4758F"/>
    <w:rsid w:val="00D51244"/>
    <w:rsid w:val="00D53343"/>
    <w:rsid w:val="00D534DF"/>
    <w:rsid w:val="00D54AE0"/>
    <w:rsid w:val="00D6383D"/>
    <w:rsid w:val="00D65853"/>
    <w:rsid w:val="00D663D6"/>
    <w:rsid w:val="00D66815"/>
    <w:rsid w:val="00D72659"/>
    <w:rsid w:val="00D74D6A"/>
    <w:rsid w:val="00D75849"/>
    <w:rsid w:val="00D767B4"/>
    <w:rsid w:val="00D8105C"/>
    <w:rsid w:val="00D8440F"/>
    <w:rsid w:val="00D86C3B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A6440"/>
    <w:rsid w:val="00DB3DF0"/>
    <w:rsid w:val="00DB6B9D"/>
    <w:rsid w:val="00DC0A37"/>
    <w:rsid w:val="00DC17CE"/>
    <w:rsid w:val="00DC6970"/>
    <w:rsid w:val="00DD666C"/>
    <w:rsid w:val="00DE0358"/>
    <w:rsid w:val="00DE12ED"/>
    <w:rsid w:val="00DE3500"/>
    <w:rsid w:val="00DF0221"/>
    <w:rsid w:val="00DF15F2"/>
    <w:rsid w:val="00DF17BE"/>
    <w:rsid w:val="00DF69E0"/>
    <w:rsid w:val="00DF7616"/>
    <w:rsid w:val="00DF7761"/>
    <w:rsid w:val="00DF7FC4"/>
    <w:rsid w:val="00E04D1A"/>
    <w:rsid w:val="00E072B5"/>
    <w:rsid w:val="00E11E43"/>
    <w:rsid w:val="00E17301"/>
    <w:rsid w:val="00E176ED"/>
    <w:rsid w:val="00E206A4"/>
    <w:rsid w:val="00E22253"/>
    <w:rsid w:val="00E225B8"/>
    <w:rsid w:val="00E228E3"/>
    <w:rsid w:val="00E24EC7"/>
    <w:rsid w:val="00E325D1"/>
    <w:rsid w:val="00E34561"/>
    <w:rsid w:val="00E345F6"/>
    <w:rsid w:val="00E34EBC"/>
    <w:rsid w:val="00E36884"/>
    <w:rsid w:val="00E3698D"/>
    <w:rsid w:val="00E36AC4"/>
    <w:rsid w:val="00E41A41"/>
    <w:rsid w:val="00E447FC"/>
    <w:rsid w:val="00E4628F"/>
    <w:rsid w:val="00E470C9"/>
    <w:rsid w:val="00E5059B"/>
    <w:rsid w:val="00E506A3"/>
    <w:rsid w:val="00E50E8A"/>
    <w:rsid w:val="00E51608"/>
    <w:rsid w:val="00E55877"/>
    <w:rsid w:val="00E56B88"/>
    <w:rsid w:val="00E60167"/>
    <w:rsid w:val="00E63898"/>
    <w:rsid w:val="00E65651"/>
    <w:rsid w:val="00E7088A"/>
    <w:rsid w:val="00E70A62"/>
    <w:rsid w:val="00E82114"/>
    <w:rsid w:val="00E846E4"/>
    <w:rsid w:val="00E8711A"/>
    <w:rsid w:val="00E903FA"/>
    <w:rsid w:val="00E90780"/>
    <w:rsid w:val="00E95278"/>
    <w:rsid w:val="00E95724"/>
    <w:rsid w:val="00E95D14"/>
    <w:rsid w:val="00EA14F5"/>
    <w:rsid w:val="00EA1B7D"/>
    <w:rsid w:val="00EA3925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13AF"/>
    <w:rsid w:val="00F23215"/>
    <w:rsid w:val="00F244A3"/>
    <w:rsid w:val="00F2484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827BD"/>
    <w:rsid w:val="00F86C28"/>
    <w:rsid w:val="00F923BA"/>
    <w:rsid w:val="00F927C4"/>
    <w:rsid w:val="00F93BA8"/>
    <w:rsid w:val="00F944B1"/>
    <w:rsid w:val="00F960C5"/>
    <w:rsid w:val="00F970AB"/>
    <w:rsid w:val="00F97E5F"/>
    <w:rsid w:val="00FA4C5D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AEE42B6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20BB1-BF43-4594-ADDA-1F41F1AFC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17</Pages>
  <Words>6336</Words>
  <Characters>38796</Characters>
  <Application>Microsoft Office Word</Application>
  <DocSecurity>0</DocSecurity>
  <Lines>323</Lines>
  <Paragraphs>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Majdičová Markéta Ing.</cp:lastModifiedBy>
  <cp:revision>35</cp:revision>
  <cp:lastPrinted>2020-01-27T08:54:00Z</cp:lastPrinted>
  <dcterms:created xsi:type="dcterms:W3CDTF">2020-03-25T09:51:00Z</dcterms:created>
  <dcterms:modified xsi:type="dcterms:W3CDTF">2020-04-02T06:01:00Z</dcterms:modified>
</cp:coreProperties>
</file>